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F4" w:rsidRPr="008908F4" w:rsidRDefault="006C5257" w:rsidP="00850C44">
      <w:pPr>
        <w:spacing w:line="264" w:lineRule="auto"/>
        <w:rPr>
          <w:b/>
          <w:sz w:val="24"/>
          <w:szCs w:val="24"/>
        </w:rPr>
      </w:pPr>
      <w:r w:rsidRPr="008908F4">
        <w:rPr>
          <w:b/>
          <w:noProof/>
          <w:sz w:val="24"/>
          <w:szCs w:val="24"/>
          <w:lang w:val="en-US"/>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2118360" cy="914400"/>
            <wp:effectExtent l="0" t="0" r="0" b="0"/>
            <wp:wrapTight wrapText="bothSides">
              <wp:wrapPolygon edited="0">
                <wp:start x="0" y="0"/>
                <wp:lineTo x="0" y="21150"/>
                <wp:lineTo x="21367" y="21150"/>
                <wp:lineTo x="2136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18360" cy="914400"/>
                    </a:xfrm>
                    <a:prstGeom prst="rect">
                      <a:avLst/>
                    </a:prstGeom>
                  </pic:spPr>
                </pic:pic>
              </a:graphicData>
            </a:graphic>
          </wp:anchor>
        </w:drawing>
      </w:r>
      <w:r w:rsidR="00AC565F">
        <w:rPr>
          <w:b/>
          <w:sz w:val="24"/>
          <w:szCs w:val="24"/>
        </w:rPr>
        <w:t>Achtergrondnota PB klimaatfinanciering 2010-2020</w:t>
      </w:r>
    </w:p>
    <w:p w:rsidR="006C5257" w:rsidRPr="00AC565F" w:rsidRDefault="00AC565F" w:rsidP="00850C44">
      <w:pPr>
        <w:spacing w:line="264" w:lineRule="auto"/>
        <w:rPr>
          <w:sz w:val="24"/>
        </w:rPr>
      </w:pPr>
      <w:r w:rsidRPr="00AC565F">
        <w:rPr>
          <w:sz w:val="24"/>
        </w:rPr>
        <w:t>Meer info: hendrik.vanpoele@11.be</w:t>
      </w:r>
    </w:p>
    <w:p w:rsidR="00850C44" w:rsidRPr="00850C44" w:rsidRDefault="00850C44" w:rsidP="00850C44">
      <w:pPr>
        <w:spacing w:line="264" w:lineRule="auto"/>
        <w:rPr>
          <w:sz w:val="2"/>
        </w:rPr>
      </w:pPr>
    </w:p>
    <w:p w:rsidR="008908F4" w:rsidRPr="008908F4" w:rsidRDefault="008908F4" w:rsidP="006C5257">
      <w:pPr>
        <w:spacing w:line="264" w:lineRule="auto"/>
        <w:jc w:val="both"/>
        <w:rPr>
          <w:sz w:val="2"/>
        </w:rPr>
      </w:pPr>
    </w:p>
    <w:p w:rsidR="00AC565F" w:rsidRDefault="00AC565F" w:rsidP="00AC565F">
      <w:pPr>
        <w:pStyle w:val="ListParagraph"/>
        <w:spacing w:line="264" w:lineRule="auto"/>
        <w:ind w:left="1080"/>
        <w:jc w:val="both"/>
        <w:rPr>
          <w:b/>
          <w:sz w:val="24"/>
          <w:u w:val="single"/>
        </w:rPr>
      </w:pPr>
    </w:p>
    <w:p w:rsidR="001E100B" w:rsidRPr="00E3394C" w:rsidRDefault="00242095" w:rsidP="001E100B">
      <w:pPr>
        <w:pStyle w:val="ListParagraph"/>
        <w:numPr>
          <w:ilvl w:val="0"/>
          <w:numId w:val="1"/>
        </w:numPr>
        <w:spacing w:line="264" w:lineRule="auto"/>
        <w:jc w:val="both"/>
        <w:rPr>
          <w:b/>
          <w:sz w:val="24"/>
          <w:u w:val="single"/>
        </w:rPr>
      </w:pPr>
      <w:r>
        <w:rPr>
          <w:b/>
          <w:sz w:val="24"/>
          <w:u w:val="single"/>
        </w:rPr>
        <w:t>FAST START FINANCIERING (2010</w:t>
      </w:r>
      <w:r w:rsidR="00AC565F">
        <w:rPr>
          <w:b/>
          <w:sz w:val="24"/>
          <w:u w:val="single"/>
        </w:rPr>
        <w:t>-2012)</w:t>
      </w:r>
    </w:p>
    <w:p w:rsidR="00540E8B" w:rsidRPr="000E6DEC" w:rsidRDefault="00AC565F" w:rsidP="001E100B">
      <w:pPr>
        <w:spacing w:line="264" w:lineRule="auto"/>
        <w:jc w:val="both"/>
      </w:pPr>
      <w:r w:rsidRPr="000E6DEC">
        <w:t xml:space="preserve">Tijdens de klimaattop in Kopenhagen (2009) werd </w:t>
      </w:r>
      <w:r w:rsidR="00433C08">
        <w:t xml:space="preserve">door de ontwikkelde landen </w:t>
      </w:r>
      <w:r w:rsidRPr="000E6DEC">
        <w:t xml:space="preserve">beloofd om in de periode 2010-2012 30 miljard dollar internationale </w:t>
      </w:r>
      <w:r w:rsidR="00433C08">
        <w:t>klimaatfinanciering te voorzien voor ontwikkelingslanden. Met dat geld kunnen de arme landen zich tegelijk aanpassen aan de gevolgen van de klimaatverandering en zich koolstofarm ontwikkelen.</w:t>
      </w:r>
    </w:p>
    <w:p w:rsidR="006C5257" w:rsidRDefault="00AC565F" w:rsidP="006C5257">
      <w:pPr>
        <w:pStyle w:val="ListParagraph"/>
        <w:numPr>
          <w:ilvl w:val="1"/>
          <w:numId w:val="1"/>
        </w:numPr>
        <w:spacing w:line="264" w:lineRule="auto"/>
        <w:jc w:val="both"/>
        <w:rPr>
          <w:b/>
        </w:rPr>
      </w:pPr>
      <w:r>
        <w:rPr>
          <w:b/>
        </w:rPr>
        <w:t>Wat werd beloofd door wie?</w:t>
      </w:r>
    </w:p>
    <w:tbl>
      <w:tblPr>
        <w:tblStyle w:val="TableGrid"/>
        <w:tblW w:w="0" w:type="auto"/>
        <w:tblLook w:val="04A0"/>
      </w:tblPr>
      <w:tblGrid>
        <w:gridCol w:w="4644"/>
        <w:gridCol w:w="4644"/>
      </w:tblGrid>
      <w:tr w:rsidR="00AC565F">
        <w:tc>
          <w:tcPr>
            <w:tcW w:w="4675" w:type="dxa"/>
          </w:tcPr>
          <w:p w:rsidR="00AC565F" w:rsidRDefault="00AC565F" w:rsidP="002E5E96">
            <w:pPr>
              <w:rPr>
                <w:lang w:val="nl-BE"/>
              </w:rPr>
            </w:pPr>
            <w:r>
              <w:rPr>
                <w:lang w:val="nl-BE"/>
              </w:rPr>
              <w:t>VN</w:t>
            </w:r>
          </w:p>
        </w:tc>
        <w:tc>
          <w:tcPr>
            <w:tcW w:w="4675" w:type="dxa"/>
          </w:tcPr>
          <w:p w:rsidR="00AC565F" w:rsidRDefault="00AC565F" w:rsidP="002E5E96">
            <w:pPr>
              <w:rPr>
                <w:lang w:val="nl-BE"/>
              </w:rPr>
            </w:pPr>
            <w:r>
              <w:rPr>
                <w:lang w:val="nl-BE"/>
              </w:rPr>
              <w:t>30 miljard dollar</w:t>
            </w:r>
          </w:p>
        </w:tc>
      </w:tr>
      <w:tr w:rsidR="00AC565F">
        <w:tc>
          <w:tcPr>
            <w:tcW w:w="4675" w:type="dxa"/>
          </w:tcPr>
          <w:p w:rsidR="00AC565F" w:rsidRDefault="00AC565F" w:rsidP="002E5E96">
            <w:pPr>
              <w:rPr>
                <w:lang w:val="nl-BE"/>
              </w:rPr>
            </w:pPr>
            <w:r>
              <w:rPr>
                <w:lang w:val="nl-BE"/>
              </w:rPr>
              <w:t>Europa</w:t>
            </w:r>
          </w:p>
        </w:tc>
        <w:tc>
          <w:tcPr>
            <w:tcW w:w="4675" w:type="dxa"/>
          </w:tcPr>
          <w:p w:rsidR="00AC565F" w:rsidRDefault="00AC565F" w:rsidP="002E5E96">
            <w:pPr>
              <w:rPr>
                <w:lang w:val="nl-BE"/>
              </w:rPr>
            </w:pPr>
            <w:r>
              <w:rPr>
                <w:lang w:val="nl-BE"/>
              </w:rPr>
              <w:t>7,2 miljard euro</w:t>
            </w:r>
          </w:p>
        </w:tc>
      </w:tr>
      <w:tr w:rsidR="00AC565F">
        <w:tc>
          <w:tcPr>
            <w:tcW w:w="4675" w:type="dxa"/>
          </w:tcPr>
          <w:p w:rsidR="00AC565F" w:rsidRDefault="00AC565F" w:rsidP="002E5E96">
            <w:pPr>
              <w:rPr>
                <w:lang w:val="nl-BE"/>
              </w:rPr>
            </w:pPr>
            <w:r>
              <w:rPr>
                <w:lang w:val="nl-BE"/>
              </w:rPr>
              <w:t>België</w:t>
            </w:r>
          </w:p>
        </w:tc>
        <w:tc>
          <w:tcPr>
            <w:tcW w:w="4675" w:type="dxa"/>
          </w:tcPr>
          <w:p w:rsidR="00AC565F" w:rsidRDefault="00AC565F" w:rsidP="002E5E96">
            <w:pPr>
              <w:rPr>
                <w:lang w:val="nl-BE"/>
              </w:rPr>
            </w:pPr>
            <w:r>
              <w:rPr>
                <w:lang w:val="nl-BE"/>
              </w:rPr>
              <w:t>150 miljoen euro</w:t>
            </w:r>
          </w:p>
        </w:tc>
      </w:tr>
    </w:tbl>
    <w:p w:rsidR="00AC565F" w:rsidRPr="00AC565F" w:rsidRDefault="00AC565F" w:rsidP="00AC565F">
      <w:pPr>
        <w:spacing w:line="264" w:lineRule="auto"/>
        <w:jc w:val="both"/>
        <w:rPr>
          <w:b/>
        </w:rPr>
      </w:pPr>
    </w:p>
    <w:p w:rsidR="006C5257" w:rsidRDefault="00AC565F" w:rsidP="006C5257">
      <w:pPr>
        <w:pStyle w:val="ListParagraph"/>
        <w:numPr>
          <w:ilvl w:val="1"/>
          <w:numId w:val="1"/>
        </w:numPr>
        <w:spacing w:line="264" w:lineRule="auto"/>
        <w:jc w:val="both"/>
        <w:rPr>
          <w:b/>
        </w:rPr>
      </w:pPr>
      <w:r>
        <w:rPr>
          <w:b/>
        </w:rPr>
        <w:t>Wat werd betaald door België?</w:t>
      </w:r>
    </w:p>
    <w:p w:rsidR="00AC565F" w:rsidRDefault="00433C08" w:rsidP="00AC565F">
      <w:pPr>
        <w:spacing w:line="264" w:lineRule="auto"/>
        <w:jc w:val="both"/>
        <w:rPr>
          <w:szCs w:val="20"/>
        </w:rPr>
      </w:pPr>
      <w:r>
        <w:rPr>
          <w:szCs w:val="20"/>
        </w:rPr>
        <w:t>Van de 150 miljoen beloofde middelen stortte België</w:t>
      </w:r>
      <w:r w:rsidR="004D5EF2">
        <w:rPr>
          <w:szCs w:val="20"/>
        </w:rPr>
        <w:t xml:space="preserve"> naar eigen zeggen 92,5 miljoen</w:t>
      </w:r>
      <w:r w:rsidR="00D13E88">
        <w:rPr>
          <w:szCs w:val="20"/>
        </w:rPr>
        <w:t>, een tekort van bijna 60 miljoen</w:t>
      </w:r>
      <w:r w:rsidR="004D5EF2">
        <w:rPr>
          <w:szCs w:val="20"/>
        </w:rPr>
        <w:t xml:space="preserve">. </w:t>
      </w:r>
      <w:r w:rsidR="00D13E88">
        <w:rPr>
          <w:szCs w:val="20"/>
        </w:rPr>
        <w:t>11.11.11 traceerde</w:t>
      </w:r>
      <w:r w:rsidR="004D5EF2">
        <w:rPr>
          <w:szCs w:val="20"/>
        </w:rPr>
        <w:t xml:space="preserve"> 86 miljoen van</w:t>
      </w:r>
      <w:r w:rsidR="00D13E88">
        <w:rPr>
          <w:szCs w:val="20"/>
        </w:rPr>
        <w:t xml:space="preserve"> de 92,5</w:t>
      </w:r>
      <w:r w:rsidR="004D5EF2">
        <w:rPr>
          <w:szCs w:val="20"/>
        </w:rPr>
        <w:t>.</w:t>
      </w:r>
      <w:r w:rsidR="00D13E88">
        <w:rPr>
          <w:szCs w:val="20"/>
        </w:rPr>
        <w:t xml:space="preserve"> Het grootste deel van</w:t>
      </w:r>
      <w:r w:rsidR="004D5EF2">
        <w:rPr>
          <w:szCs w:val="20"/>
        </w:rPr>
        <w:t xml:space="preserve"> deze middelen </w:t>
      </w:r>
      <w:r w:rsidR="00D13E88">
        <w:rPr>
          <w:szCs w:val="20"/>
        </w:rPr>
        <w:t>(79 miljoen) komt</w:t>
      </w:r>
      <w:r w:rsidR="004D5EF2">
        <w:rPr>
          <w:szCs w:val="20"/>
        </w:rPr>
        <w:t xml:space="preserve"> uit het budget ontwikkelingssamenwerking. </w:t>
      </w:r>
      <w:r w:rsidR="00B409DB">
        <w:rPr>
          <w:szCs w:val="20"/>
        </w:rPr>
        <w:t>Geld dat dus dubbel geteld wordt: als internationale klimaatfinanciering en als ontwikkelingssamenwerking.</w:t>
      </w:r>
    </w:p>
    <w:p w:rsidR="004D5EF2" w:rsidRPr="000E6DEC" w:rsidRDefault="004D5EF2" w:rsidP="00AC565F">
      <w:pPr>
        <w:spacing w:line="264" w:lineRule="auto"/>
        <w:jc w:val="both"/>
        <w:rPr>
          <w:szCs w:val="20"/>
        </w:rPr>
      </w:pPr>
      <w:r>
        <w:rPr>
          <w:szCs w:val="20"/>
        </w:rPr>
        <w:t>Overzicht 11.11.11:</w:t>
      </w:r>
    </w:p>
    <w:tbl>
      <w:tblPr>
        <w:tblStyle w:val="TableGrid"/>
        <w:tblW w:w="0" w:type="auto"/>
        <w:tblLook w:val="04A0"/>
      </w:tblPr>
      <w:tblGrid>
        <w:gridCol w:w="960"/>
        <w:gridCol w:w="1357"/>
        <w:gridCol w:w="1262"/>
        <w:gridCol w:w="1621"/>
        <w:gridCol w:w="2806"/>
        <w:gridCol w:w="1282"/>
      </w:tblGrid>
      <w:tr w:rsidR="00AC565F" w:rsidRPr="00AC565F">
        <w:tc>
          <w:tcPr>
            <w:tcW w:w="962" w:type="dxa"/>
            <w:vMerge w:val="restart"/>
            <w:shd w:val="clear" w:color="auto" w:fill="D99594" w:themeFill="accent2" w:themeFillTint="99"/>
          </w:tcPr>
          <w:p w:rsidR="00AC565F" w:rsidRPr="00AC565F" w:rsidRDefault="00AC565F" w:rsidP="002E5E96">
            <w:pPr>
              <w:rPr>
                <w:rFonts w:cs="Arial"/>
                <w:b/>
                <w:bCs/>
                <w:lang w:val="nl-BE"/>
              </w:rPr>
            </w:pPr>
            <w:r w:rsidRPr="00AC565F">
              <w:rPr>
                <w:rFonts w:cs="Arial"/>
                <w:b/>
                <w:bCs/>
                <w:lang w:val="nl-BE"/>
              </w:rPr>
              <w:t>2010</w:t>
            </w:r>
          </w:p>
        </w:tc>
        <w:tc>
          <w:tcPr>
            <w:tcW w:w="1367" w:type="dxa"/>
            <w:shd w:val="clear" w:color="auto" w:fill="D99594" w:themeFill="accent2" w:themeFillTint="99"/>
          </w:tcPr>
          <w:p w:rsidR="00AC565F" w:rsidRPr="00AC565F" w:rsidRDefault="00AC565F" w:rsidP="002E5E96">
            <w:pPr>
              <w:rPr>
                <w:rFonts w:cs="Arial"/>
                <w:b/>
                <w:bCs/>
              </w:rPr>
            </w:pPr>
            <w:r w:rsidRPr="00AC565F">
              <w:rPr>
                <w:rFonts w:cs="Arial"/>
                <w:b/>
                <w:bCs/>
              </w:rPr>
              <w:t>Van</w:t>
            </w:r>
          </w:p>
        </w:tc>
        <w:tc>
          <w:tcPr>
            <w:tcW w:w="1274" w:type="dxa"/>
            <w:shd w:val="clear" w:color="auto" w:fill="D99594" w:themeFill="accent2" w:themeFillTint="99"/>
          </w:tcPr>
          <w:p w:rsidR="00AC565F" w:rsidRPr="00AC565F" w:rsidRDefault="00AC565F" w:rsidP="002E5E96">
            <w:pPr>
              <w:rPr>
                <w:rFonts w:cs="Arial"/>
                <w:b/>
                <w:bCs/>
              </w:rPr>
            </w:pPr>
            <w:r w:rsidRPr="00AC565F">
              <w:rPr>
                <w:rFonts w:cs="Arial"/>
                <w:b/>
                <w:bCs/>
              </w:rPr>
              <w:t>Bedrag</w:t>
            </w:r>
          </w:p>
        </w:tc>
        <w:tc>
          <w:tcPr>
            <w:tcW w:w="1624" w:type="dxa"/>
            <w:shd w:val="clear" w:color="auto" w:fill="D99594" w:themeFill="accent2" w:themeFillTint="99"/>
          </w:tcPr>
          <w:p w:rsidR="00AC565F" w:rsidRPr="00AC565F" w:rsidRDefault="00AC565F" w:rsidP="002E5E96">
            <w:pPr>
              <w:rPr>
                <w:rFonts w:cs="Arial"/>
                <w:b/>
                <w:bCs/>
              </w:rPr>
            </w:pPr>
            <w:r w:rsidRPr="00AC565F">
              <w:rPr>
                <w:rFonts w:cs="Arial"/>
                <w:b/>
                <w:bCs/>
              </w:rPr>
              <w:t>Via</w:t>
            </w:r>
          </w:p>
        </w:tc>
        <w:tc>
          <w:tcPr>
            <w:tcW w:w="2872" w:type="dxa"/>
            <w:shd w:val="clear" w:color="auto" w:fill="D99594" w:themeFill="accent2" w:themeFillTint="99"/>
          </w:tcPr>
          <w:p w:rsidR="00AC565F" w:rsidRPr="00AC565F" w:rsidRDefault="00AC565F" w:rsidP="002E5E96">
            <w:pPr>
              <w:rPr>
                <w:rFonts w:cs="Arial"/>
                <w:b/>
                <w:bCs/>
              </w:rPr>
            </w:pPr>
            <w:r w:rsidRPr="00AC565F">
              <w:rPr>
                <w:rFonts w:cs="Arial"/>
                <w:b/>
                <w:bCs/>
              </w:rPr>
              <w:t>Naar</w:t>
            </w:r>
          </w:p>
        </w:tc>
        <w:tc>
          <w:tcPr>
            <w:tcW w:w="1251" w:type="dxa"/>
            <w:shd w:val="clear" w:color="auto" w:fill="D99594" w:themeFill="accent2" w:themeFillTint="99"/>
          </w:tcPr>
          <w:p w:rsidR="00AC565F" w:rsidRPr="00AC565F" w:rsidRDefault="00AC565F" w:rsidP="002E5E96">
            <w:pPr>
              <w:rPr>
                <w:rFonts w:cs="Arial"/>
                <w:b/>
                <w:bCs/>
              </w:rPr>
            </w:pPr>
            <w:r w:rsidRPr="00AC565F">
              <w:rPr>
                <w:rFonts w:cs="Arial"/>
                <w:b/>
                <w:bCs/>
              </w:rPr>
              <w:t>Additioneel</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val="restart"/>
          </w:tcPr>
          <w:p w:rsidR="00AC565F" w:rsidRPr="00AC565F" w:rsidRDefault="00AC565F" w:rsidP="002E5E96">
            <w:pPr>
              <w:rPr>
                <w:rFonts w:cs="Arial"/>
                <w:bCs/>
                <w:lang w:val="nl-BE"/>
              </w:rPr>
            </w:pPr>
            <w:r w:rsidRPr="00AC565F">
              <w:rPr>
                <w:rFonts w:cs="Arial"/>
                <w:bCs/>
                <w:lang w:val="nl-BE"/>
              </w:rPr>
              <w:t>Federaal</w:t>
            </w:r>
          </w:p>
        </w:tc>
        <w:tc>
          <w:tcPr>
            <w:tcW w:w="1274" w:type="dxa"/>
          </w:tcPr>
          <w:p w:rsidR="00AC565F" w:rsidRPr="00AC565F" w:rsidRDefault="00AC565F" w:rsidP="002E5E96">
            <w:pPr>
              <w:rPr>
                <w:rFonts w:cs="Arial"/>
                <w:bCs/>
              </w:rPr>
            </w:pPr>
            <w:r w:rsidRPr="00AC565F">
              <w:rPr>
                <w:rFonts w:cs="Arial"/>
                <w:bCs/>
              </w:rPr>
              <w:t>10 miljoen</w:t>
            </w:r>
          </w:p>
        </w:tc>
        <w:tc>
          <w:tcPr>
            <w:tcW w:w="1624" w:type="dxa"/>
          </w:tcPr>
          <w:p w:rsidR="00AC565F" w:rsidRPr="00AC565F" w:rsidRDefault="00AC565F" w:rsidP="002E5E96">
            <w:pPr>
              <w:rPr>
                <w:rFonts w:cs="Arial"/>
                <w:bCs/>
              </w:rPr>
            </w:pPr>
            <w:r w:rsidRPr="00AC565F">
              <w:rPr>
                <w:rFonts w:cs="Arial"/>
                <w:bCs/>
              </w:rPr>
              <w:t>SFM/REDD</w:t>
            </w:r>
          </w:p>
          <w:p w:rsidR="00AC565F" w:rsidRPr="00AC565F" w:rsidRDefault="00AC565F" w:rsidP="002E5E96">
            <w:pPr>
              <w:rPr>
                <w:rFonts w:cs="Arial"/>
                <w:bCs/>
              </w:rPr>
            </w:pPr>
            <w:r w:rsidRPr="00AC565F">
              <w:rPr>
                <w:rFonts w:cs="Arial"/>
                <w:bCs/>
              </w:rPr>
              <w:t>GEF</w:t>
            </w:r>
          </w:p>
        </w:tc>
        <w:tc>
          <w:tcPr>
            <w:tcW w:w="2872" w:type="dxa"/>
          </w:tcPr>
          <w:p w:rsidR="00AC565F" w:rsidRPr="00AC565F" w:rsidRDefault="00AC565F" w:rsidP="002E5E96">
            <w:pPr>
              <w:rPr>
                <w:rFonts w:cs="Arial"/>
                <w:bCs/>
              </w:rPr>
            </w:pPr>
            <w:r w:rsidRPr="00AC565F">
              <w:rPr>
                <w:rFonts w:cs="Arial"/>
                <w:bCs/>
              </w:rPr>
              <w:t>Bosbehoud: Sustainable Forest management en REDD+</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
                <w:bCs/>
              </w:rPr>
            </w:pPr>
          </w:p>
        </w:tc>
        <w:tc>
          <w:tcPr>
            <w:tcW w:w="1274" w:type="dxa"/>
          </w:tcPr>
          <w:p w:rsidR="00AC565F" w:rsidRPr="00AC565F" w:rsidRDefault="00AC565F" w:rsidP="002E5E96">
            <w:pPr>
              <w:rPr>
                <w:rFonts w:cs="Arial"/>
                <w:bCs/>
              </w:rPr>
            </w:pPr>
            <w:r w:rsidRPr="00AC565F">
              <w:rPr>
                <w:rFonts w:cs="Arial"/>
                <w:bCs/>
              </w:rPr>
              <w:t>20 miljoen</w:t>
            </w:r>
          </w:p>
        </w:tc>
        <w:tc>
          <w:tcPr>
            <w:tcW w:w="1624" w:type="dxa"/>
          </w:tcPr>
          <w:p w:rsidR="00AC565F" w:rsidRPr="00AC565F" w:rsidRDefault="00AC565F" w:rsidP="002E5E96">
            <w:pPr>
              <w:rPr>
                <w:rFonts w:cs="Arial"/>
                <w:bCs/>
              </w:rPr>
            </w:pPr>
            <w:r w:rsidRPr="00AC565F">
              <w:rPr>
                <w:rFonts w:cs="Arial"/>
                <w:bCs/>
              </w:rPr>
              <w:t>BIO</w:t>
            </w:r>
          </w:p>
        </w:tc>
        <w:tc>
          <w:tcPr>
            <w:tcW w:w="2872" w:type="dxa"/>
          </w:tcPr>
          <w:p w:rsidR="00AC565F" w:rsidRPr="00AC565F" w:rsidRDefault="00AC565F" w:rsidP="002E5E96">
            <w:pPr>
              <w:rPr>
                <w:rFonts w:cs="Arial"/>
                <w:bCs/>
              </w:rPr>
            </w:pPr>
            <w:r w:rsidRPr="00AC565F">
              <w:rPr>
                <w:rFonts w:cs="Arial"/>
                <w:bCs/>
              </w:rPr>
              <w:t>Mitigatie: Bhramaputra Clean Development Fund   (Dragon Capital)</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
                <w:bCs/>
              </w:rPr>
            </w:pPr>
          </w:p>
        </w:tc>
        <w:tc>
          <w:tcPr>
            <w:tcW w:w="1274" w:type="dxa"/>
          </w:tcPr>
          <w:p w:rsidR="00AC565F" w:rsidRPr="00AC565F" w:rsidRDefault="00AC565F" w:rsidP="002E5E96">
            <w:pPr>
              <w:rPr>
                <w:rFonts w:cs="Arial"/>
                <w:bCs/>
              </w:rPr>
            </w:pPr>
            <w:r w:rsidRPr="00AC565F">
              <w:rPr>
                <w:rFonts w:cs="Arial"/>
                <w:bCs/>
              </w:rPr>
              <w:t>10 miljoen</w:t>
            </w:r>
          </w:p>
        </w:tc>
        <w:tc>
          <w:tcPr>
            <w:tcW w:w="1624" w:type="dxa"/>
          </w:tcPr>
          <w:p w:rsidR="00AC565F" w:rsidRPr="00AC565F" w:rsidRDefault="00AC565F" w:rsidP="002E5E96">
            <w:pPr>
              <w:rPr>
                <w:rFonts w:cs="Arial"/>
                <w:bCs/>
              </w:rPr>
            </w:pPr>
            <w:r w:rsidRPr="00AC565F">
              <w:rPr>
                <w:rFonts w:cs="Arial"/>
                <w:bCs/>
              </w:rPr>
              <w:t>LDC Fund</w:t>
            </w:r>
          </w:p>
        </w:tc>
        <w:tc>
          <w:tcPr>
            <w:tcW w:w="2872" w:type="dxa"/>
          </w:tcPr>
          <w:p w:rsidR="00AC565F" w:rsidRPr="00AC565F" w:rsidRDefault="00AC565F" w:rsidP="002E5E96">
            <w:pPr>
              <w:rPr>
                <w:rFonts w:cs="Arial"/>
                <w:bCs/>
              </w:rPr>
            </w:pPr>
            <w:r w:rsidRPr="00AC565F">
              <w:rPr>
                <w:rFonts w:cs="Arial"/>
                <w:bCs/>
              </w:rPr>
              <w:t>Adaptatie</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val="restart"/>
          </w:tcPr>
          <w:p w:rsidR="00AC565F" w:rsidRPr="00AC565F" w:rsidRDefault="00AC565F" w:rsidP="002E5E96">
            <w:pPr>
              <w:rPr>
                <w:rFonts w:cs="Arial"/>
                <w:bCs/>
              </w:rPr>
            </w:pPr>
            <w:r w:rsidRPr="00AC565F">
              <w:rPr>
                <w:rFonts w:cs="Arial"/>
                <w:bCs/>
              </w:rPr>
              <w:t>Wallonië</w:t>
            </w:r>
          </w:p>
        </w:tc>
        <w:tc>
          <w:tcPr>
            <w:tcW w:w="1274" w:type="dxa"/>
          </w:tcPr>
          <w:p w:rsidR="00AC565F" w:rsidRPr="00AC565F" w:rsidRDefault="00AC565F" w:rsidP="002E5E96">
            <w:pPr>
              <w:rPr>
                <w:rFonts w:cs="Arial"/>
                <w:bCs/>
              </w:rPr>
            </w:pPr>
            <w:r w:rsidRPr="00AC565F">
              <w:rPr>
                <w:rFonts w:cs="Arial"/>
                <w:bCs/>
              </w:rPr>
              <w:t>1.6 miljoen</w:t>
            </w:r>
          </w:p>
        </w:tc>
        <w:tc>
          <w:tcPr>
            <w:tcW w:w="1624" w:type="dxa"/>
          </w:tcPr>
          <w:p w:rsidR="00AC565F" w:rsidRPr="00AC565F" w:rsidRDefault="00AC565F" w:rsidP="002E5E96">
            <w:pPr>
              <w:rPr>
                <w:rFonts w:cs="Arial"/>
                <w:bCs/>
              </w:rPr>
            </w:pPr>
            <w:r w:rsidRPr="00AC565F">
              <w:rPr>
                <w:rFonts w:cs="Arial"/>
                <w:bCs/>
              </w:rPr>
              <w:t>Partenariat Afrique-Wallonie</w:t>
            </w:r>
          </w:p>
        </w:tc>
        <w:tc>
          <w:tcPr>
            <w:tcW w:w="2872" w:type="dxa"/>
          </w:tcPr>
          <w:p w:rsidR="00AC565F" w:rsidRPr="00AC565F" w:rsidRDefault="00AC565F" w:rsidP="002E5E96">
            <w:pPr>
              <w:rPr>
                <w:rFonts w:cs="Arial"/>
                <w:lang w:val="nl-BE"/>
              </w:rPr>
            </w:pPr>
            <w:r w:rsidRPr="00AC565F">
              <w:rPr>
                <w:rFonts w:cs="Arial"/>
                <w:lang w:val="nl-BE"/>
              </w:rPr>
              <w:t>Herbebossing in Rwanda</w:t>
            </w:r>
          </w:p>
          <w:p w:rsidR="00AC565F" w:rsidRPr="00AC565F" w:rsidRDefault="00AC565F" w:rsidP="002E5E96">
            <w:pPr>
              <w:rPr>
                <w:rFonts w:cs="Arial"/>
                <w:lang w:val="nl-BE"/>
              </w:rPr>
            </w:pPr>
            <w:r w:rsidRPr="00AC565F">
              <w:rPr>
                <w:rFonts w:cs="Arial"/>
                <w:lang w:val="nl-BE"/>
              </w:rPr>
              <w:t>Druppelbevloeiing en compostering in Senegal</w:t>
            </w:r>
          </w:p>
          <w:p w:rsidR="00AC565F" w:rsidRPr="00AC565F" w:rsidRDefault="00AC565F" w:rsidP="002E5E96">
            <w:pPr>
              <w:rPr>
                <w:rFonts w:cs="Arial"/>
                <w:lang w:val="nl-BE"/>
              </w:rPr>
            </w:pPr>
            <w:r w:rsidRPr="00AC565F">
              <w:rPr>
                <w:rFonts w:cs="Arial"/>
                <w:lang w:val="nl-BE"/>
              </w:rPr>
              <w:t>Betere houtskool en stoven in Benin</w:t>
            </w:r>
          </w:p>
          <w:p w:rsidR="00AC565F" w:rsidRPr="00AC565F" w:rsidRDefault="00AC565F" w:rsidP="002E5E96">
            <w:pPr>
              <w:rPr>
                <w:rFonts w:cs="Arial"/>
                <w:lang w:val="nl-BE"/>
              </w:rPr>
            </w:pPr>
            <w:r w:rsidRPr="00AC565F">
              <w:rPr>
                <w:rFonts w:cs="Arial"/>
                <w:lang w:val="nl-BE"/>
              </w:rPr>
              <w:t>Betere stoven en CDM-participatie in Burkina Faso</w:t>
            </w:r>
          </w:p>
          <w:p w:rsidR="00AC565F" w:rsidRPr="00AC565F" w:rsidRDefault="00AC565F" w:rsidP="002E5E96">
            <w:pPr>
              <w:rPr>
                <w:rFonts w:cs="Arial"/>
                <w:lang w:val="nl-BE"/>
              </w:rPr>
            </w:pPr>
            <w:r w:rsidRPr="00AC565F">
              <w:rPr>
                <w:rFonts w:cs="Arial"/>
                <w:lang w:val="nl-BE"/>
              </w:rPr>
              <w:t>twee bijkomende projecten in DRC en Burundi</w:t>
            </w:r>
          </w:p>
        </w:tc>
        <w:tc>
          <w:tcPr>
            <w:tcW w:w="1251" w:type="dxa"/>
          </w:tcPr>
          <w:p w:rsidR="00AC565F" w:rsidRPr="00AC565F" w:rsidRDefault="00AC565F" w:rsidP="002E5E96">
            <w:pPr>
              <w:rPr>
                <w:rFonts w:cs="Arial"/>
              </w:rPr>
            </w:pPr>
            <w:r w:rsidRPr="00AC565F">
              <w:rPr>
                <w:rFonts w:cs="Arial"/>
              </w:rPr>
              <w:t>Ja</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
                <w:bCs/>
              </w:rPr>
            </w:pPr>
          </w:p>
        </w:tc>
        <w:tc>
          <w:tcPr>
            <w:tcW w:w="1274" w:type="dxa"/>
          </w:tcPr>
          <w:p w:rsidR="00AC565F" w:rsidRPr="00AC565F" w:rsidRDefault="00AC565F" w:rsidP="002E5E96">
            <w:pPr>
              <w:rPr>
                <w:rFonts w:cs="Arial"/>
                <w:bCs/>
              </w:rPr>
            </w:pPr>
            <w:r w:rsidRPr="00AC565F">
              <w:rPr>
                <w:rFonts w:cs="Arial"/>
                <w:bCs/>
              </w:rPr>
              <w:t>0.3 miljoen</w:t>
            </w:r>
          </w:p>
        </w:tc>
        <w:tc>
          <w:tcPr>
            <w:tcW w:w="1624" w:type="dxa"/>
          </w:tcPr>
          <w:p w:rsidR="00AC565F" w:rsidRPr="00AC565F" w:rsidRDefault="00AC565F" w:rsidP="002E5E96">
            <w:pPr>
              <w:rPr>
                <w:rFonts w:cs="Arial"/>
                <w:bCs/>
              </w:rPr>
            </w:pPr>
            <w:r w:rsidRPr="00AC565F">
              <w:rPr>
                <w:rFonts w:cs="Arial"/>
                <w:bCs/>
              </w:rPr>
              <w:t>Yasuni</w:t>
            </w:r>
          </w:p>
        </w:tc>
        <w:tc>
          <w:tcPr>
            <w:tcW w:w="2872" w:type="dxa"/>
          </w:tcPr>
          <w:p w:rsidR="00AC565F" w:rsidRPr="00AC565F" w:rsidRDefault="00AC565F" w:rsidP="002E5E96">
            <w:pPr>
              <w:rPr>
                <w:rFonts w:cs="Arial"/>
                <w:bCs/>
              </w:rPr>
            </w:pPr>
            <w:r w:rsidRPr="00AC565F">
              <w:rPr>
                <w:rFonts w:cs="Arial"/>
                <w:bCs/>
              </w:rPr>
              <w:t>Bosbehoud in Ecuador</w:t>
            </w:r>
          </w:p>
        </w:tc>
        <w:tc>
          <w:tcPr>
            <w:tcW w:w="1251" w:type="dxa"/>
          </w:tcPr>
          <w:p w:rsidR="00AC565F" w:rsidRPr="00AC565F" w:rsidRDefault="00AC565F" w:rsidP="002E5E96">
            <w:pPr>
              <w:rPr>
                <w:rFonts w:cs="Arial"/>
                <w:bCs/>
              </w:rPr>
            </w:pPr>
            <w:r w:rsidRPr="00AC565F">
              <w:rPr>
                <w:rFonts w:cs="Arial"/>
                <w:bCs/>
              </w:rPr>
              <w:t>Ja</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
                <w:bCs/>
              </w:rPr>
            </w:pPr>
          </w:p>
        </w:tc>
        <w:tc>
          <w:tcPr>
            <w:tcW w:w="1274" w:type="dxa"/>
          </w:tcPr>
          <w:p w:rsidR="00AC565F" w:rsidRPr="00AC565F" w:rsidRDefault="00AC565F" w:rsidP="002E5E96">
            <w:pPr>
              <w:rPr>
                <w:rFonts w:cs="Arial"/>
                <w:bCs/>
              </w:rPr>
            </w:pPr>
            <w:r w:rsidRPr="00AC565F">
              <w:rPr>
                <w:rFonts w:cs="Arial"/>
                <w:bCs/>
              </w:rPr>
              <w:t>0.1 miljoen</w:t>
            </w:r>
          </w:p>
        </w:tc>
        <w:tc>
          <w:tcPr>
            <w:tcW w:w="1624" w:type="dxa"/>
          </w:tcPr>
          <w:p w:rsidR="00AC565F" w:rsidRPr="00AC565F" w:rsidRDefault="00AC565F" w:rsidP="002E5E96">
            <w:pPr>
              <w:rPr>
                <w:rFonts w:cs="Arial"/>
                <w:bCs/>
              </w:rPr>
            </w:pPr>
            <w:r w:rsidRPr="00AC565F">
              <w:rPr>
                <w:rFonts w:cs="Arial"/>
                <w:bCs/>
              </w:rPr>
              <w:t>UNEP</w:t>
            </w:r>
          </w:p>
        </w:tc>
        <w:tc>
          <w:tcPr>
            <w:tcW w:w="2872" w:type="dxa"/>
          </w:tcPr>
          <w:p w:rsidR="00AC565F" w:rsidRPr="00AC565F" w:rsidRDefault="00AC565F" w:rsidP="002E5E96">
            <w:pPr>
              <w:rPr>
                <w:rFonts w:cs="Arial"/>
                <w:bCs/>
              </w:rPr>
            </w:pPr>
            <w:r w:rsidRPr="00AC565F">
              <w:rPr>
                <w:rFonts w:cs="Arial"/>
                <w:bCs/>
              </w:rPr>
              <w:t>Mitigatie en adaptatie project in Senegal</w:t>
            </w:r>
          </w:p>
        </w:tc>
        <w:tc>
          <w:tcPr>
            <w:tcW w:w="1251" w:type="dxa"/>
          </w:tcPr>
          <w:p w:rsidR="00AC565F" w:rsidRPr="00AC565F" w:rsidRDefault="00AC565F" w:rsidP="002E5E96">
            <w:pPr>
              <w:rPr>
                <w:rFonts w:cs="Arial"/>
                <w:bCs/>
              </w:rPr>
            </w:pPr>
            <w:r w:rsidRPr="00AC565F">
              <w:rPr>
                <w:rFonts w:cs="Arial"/>
                <w:bCs/>
              </w:rPr>
              <w:t>Ja</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val="restart"/>
          </w:tcPr>
          <w:p w:rsidR="00AC565F" w:rsidRPr="00AC565F" w:rsidRDefault="00AC565F" w:rsidP="002E5E96">
            <w:pPr>
              <w:rPr>
                <w:rFonts w:cs="Arial"/>
                <w:bCs/>
              </w:rPr>
            </w:pPr>
            <w:r w:rsidRPr="00AC565F">
              <w:rPr>
                <w:rFonts w:cs="Arial"/>
                <w:bCs/>
              </w:rPr>
              <w:t>Vlaanderen</w:t>
            </w:r>
          </w:p>
        </w:tc>
        <w:tc>
          <w:tcPr>
            <w:tcW w:w="1274" w:type="dxa"/>
          </w:tcPr>
          <w:p w:rsidR="00AC565F" w:rsidRPr="00AC565F" w:rsidRDefault="00AC565F" w:rsidP="002E5E96">
            <w:pPr>
              <w:rPr>
                <w:rFonts w:cs="Arial"/>
                <w:bCs/>
              </w:rPr>
            </w:pPr>
            <w:r w:rsidRPr="00AC565F">
              <w:rPr>
                <w:rFonts w:cs="Arial"/>
                <w:bCs/>
              </w:rPr>
              <w:t>0.305 miljoen</w:t>
            </w:r>
          </w:p>
        </w:tc>
        <w:tc>
          <w:tcPr>
            <w:tcW w:w="1624" w:type="dxa"/>
          </w:tcPr>
          <w:p w:rsidR="00AC565F" w:rsidRPr="00AC565F" w:rsidRDefault="00AC565F" w:rsidP="002E5E96">
            <w:pPr>
              <w:rPr>
                <w:rFonts w:cs="Arial"/>
                <w:bCs/>
                <w:lang w:val="nl-BE"/>
              </w:rPr>
            </w:pPr>
            <w:r w:rsidRPr="00AC565F">
              <w:rPr>
                <w:rFonts w:cs="Arial"/>
                <w:bCs/>
                <w:lang w:val="nl-BE"/>
              </w:rPr>
              <w:t>Vlaams Partnerschap Water Voor Ontwikkeling</w:t>
            </w:r>
          </w:p>
        </w:tc>
        <w:tc>
          <w:tcPr>
            <w:tcW w:w="2872" w:type="dxa"/>
          </w:tcPr>
          <w:p w:rsidR="00AC565F" w:rsidRPr="00AC565F" w:rsidRDefault="00AC565F" w:rsidP="002E5E96">
            <w:pPr>
              <w:rPr>
                <w:rFonts w:cs="Arial"/>
                <w:bCs/>
                <w:lang w:val="nl-BE"/>
              </w:rPr>
            </w:pPr>
            <w:r w:rsidRPr="00AC565F">
              <w:rPr>
                <w:rFonts w:cs="Arial"/>
                <w:bCs/>
                <w:lang w:val="nl-BE"/>
              </w:rPr>
              <w:t>Projecten rond water, sanitatie en duurzaam beheer van natuurlijke rijkdommen</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0.149 miljoen</w:t>
            </w:r>
          </w:p>
        </w:tc>
        <w:tc>
          <w:tcPr>
            <w:tcW w:w="1624" w:type="dxa"/>
          </w:tcPr>
          <w:p w:rsidR="00AC565F" w:rsidRPr="00AC565F" w:rsidRDefault="00AC565F" w:rsidP="002E5E96">
            <w:pPr>
              <w:rPr>
                <w:rFonts w:cs="Arial"/>
                <w:bCs/>
              </w:rPr>
            </w:pPr>
            <w:r w:rsidRPr="00AC565F">
              <w:rPr>
                <w:rFonts w:cs="Arial"/>
                <w:bCs/>
              </w:rPr>
              <w:t>UNEP</w:t>
            </w:r>
          </w:p>
        </w:tc>
        <w:tc>
          <w:tcPr>
            <w:tcW w:w="2872" w:type="dxa"/>
          </w:tcPr>
          <w:p w:rsidR="00AC565F" w:rsidRPr="00AC565F" w:rsidRDefault="00AC565F" w:rsidP="002E5E96">
            <w:pPr>
              <w:rPr>
                <w:rFonts w:cs="Arial"/>
                <w:bCs/>
              </w:rPr>
            </w:pPr>
            <w:r w:rsidRPr="00AC565F">
              <w:rPr>
                <w:rFonts w:cs="Arial"/>
                <w:bCs/>
              </w:rPr>
              <w:t>Strengthening the capacity of humanitartion actioers to integrate environmental considerations into humanitarian action and early recovery</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0.319 miljoen</w:t>
            </w:r>
          </w:p>
        </w:tc>
        <w:tc>
          <w:tcPr>
            <w:tcW w:w="1624" w:type="dxa"/>
          </w:tcPr>
          <w:p w:rsidR="00AC565F" w:rsidRPr="00AC565F" w:rsidRDefault="00AC565F" w:rsidP="002E5E96">
            <w:pPr>
              <w:rPr>
                <w:rFonts w:cs="Arial"/>
                <w:bCs/>
              </w:rPr>
            </w:pPr>
            <w:r w:rsidRPr="00AC565F">
              <w:rPr>
                <w:rFonts w:cs="Arial"/>
                <w:bCs/>
              </w:rPr>
              <w:t>ICRAF</w:t>
            </w:r>
          </w:p>
        </w:tc>
        <w:tc>
          <w:tcPr>
            <w:tcW w:w="2872" w:type="dxa"/>
          </w:tcPr>
          <w:p w:rsidR="00AC565F" w:rsidRPr="00AC565F" w:rsidRDefault="00AC565F" w:rsidP="002E5E96">
            <w:pPr>
              <w:rPr>
                <w:rFonts w:cs="Arial"/>
                <w:bCs/>
              </w:rPr>
            </w:pPr>
            <w:r w:rsidRPr="00AC565F">
              <w:rPr>
                <w:rFonts w:cs="Arial"/>
                <w:bCs/>
              </w:rPr>
              <w:t>Community Agroforestry Tree Seeds Banks (CATS Banks): Building Agroforestry Scaling up Platform for Diversifying Livelihoods Opportunities in Malawi and Mozambique</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tcPr>
          <w:p w:rsidR="00AC565F" w:rsidRPr="00AC565F" w:rsidRDefault="00AC565F" w:rsidP="002E5E96">
            <w:pPr>
              <w:rPr>
                <w:rFonts w:cs="Arial"/>
                <w:bCs/>
              </w:rPr>
            </w:pPr>
            <w:r w:rsidRPr="00AC565F">
              <w:rPr>
                <w:rFonts w:cs="Arial"/>
                <w:bCs/>
              </w:rPr>
              <w:t>Brussel</w:t>
            </w:r>
          </w:p>
        </w:tc>
        <w:tc>
          <w:tcPr>
            <w:tcW w:w="1274" w:type="dxa"/>
          </w:tcPr>
          <w:p w:rsidR="00AC565F" w:rsidRPr="00AC565F" w:rsidRDefault="00AC565F" w:rsidP="002E5E96">
            <w:pPr>
              <w:rPr>
                <w:rFonts w:cs="Arial"/>
                <w:bCs/>
              </w:rPr>
            </w:pPr>
            <w:r w:rsidRPr="00AC565F">
              <w:rPr>
                <w:rFonts w:cs="Arial"/>
                <w:bCs/>
              </w:rPr>
              <w:t>0</w:t>
            </w:r>
          </w:p>
        </w:tc>
        <w:tc>
          <w:tcPr>
            <w:tcW w:w="1624" w:type="dxa"/>
          </w:tcPr>
          <w:p w:rsidR="00AC565F" w:rsidRPr="00AC565F" w:rsidRDefault="00AC565F" w:rsidP="002E5E96">
            <w:pPr>
              <w:rPr>
                <w:rFonts w:cs="Arial"/>
                <w:b/>
                <w:bCs/>
              </w:rPr>
            </w:pPr>
          </w:p>
        </w:tc>
        <w:tc>
          <w:tcPr>
            <w:tcW w:w="2872" w:type="dxa"/>
          </w:tcPr>
          <w:p w:rsidR="00AC565F" w:rsidRPr="00AC565F" w:rsidRDefault="00AC565F" w:rsidP="002E5E96">
            <w:pPr>
              <w:rPr>
                <w:rFonts w:cs="Arial"/>
                <w:b/>
                <w:bCs/>
              </w:rPr>
            </w:pPr>
          </w:p>
        </w:tc>
        <w:tc>
          <w:tcPr>
            <w:tcW w:w="1251" w:type="dxa"/>
          </w:tcPr>
          <w:p w:rsidR="00AC565F" w:rsidRPr="00AC565F" w:rsidRDefault="00AC565F" w:rsidP="002E5E96">
            <w:pPr>
              <w:rPr>
                <w:rFonts w:cs="Arial"/>
                <w:b/>
                <w:bCs/>
              </w:rPr>
            </w:pPr>
          </w:p>
        </w:tc>
      </w:tr>
      <w:tr w:rsidR="00AC565F" w:rsidRPr="00AC565F">
        <w:tc>
          <w:tcPr>
            <w:tcW w:w="962" w:type="dxa"/>
            <w:shd w:val="clear" w:color="auto" w:fill="943634" w:themeFill="accent2" w:themeFillShade="BF"/>
          </w:tcPr>
          <w:p w:rsidR="00AC565F" w:rsidRPr="00AC565F" w:rsidRDefault="00AC565F" w:rsidP="002E5E96">
            <w:pPr>
              <w:rPr>
                <w:rFonts w:cs="Arial"/>
                <w:b/>
                <w:bCs/>
              </w:rPr>
            </w:pPr>
            <w:r w:rsidRPr="00AC565F">
              <w:rPr>
                <w:rFonts w:cs="Arial"/>
                <w:b/>
                <w:bCs/>
              </w:rPr>
              <w:t>TOTAAL</w:t>
            </w:r>
          </w:p>
        </w:tc>
        <w:tc>
          <w:tcPr>
            <w:tcW w:w="8388" w:type="dxa"/>
            <w:gridSpan w:val="5"/>
            <w:shd w:val="clear" w:color="auto" w:fill="943634" w:themeFill="accent2" w:themeFillShade="BF"/>
          </w:tcPr>
          <w:p w:rsidR="00AC565F" w:rsidRPr="00AC565F" w:rsidRDefault="00AC565F" w:rsidP="002E5E96">
            <w:pPr>
              <w:jc w:val="right"/>
              <w:rPr>
                <w:rFonts w:cs="Arial"/>
                <w:b/>
                <w:bCs/>
              </w:rPr>
            </w:pPr>
            <w:r w:rsidRPr="00AC565F">
              <w:rPr>
                <w:rFonts w:cs="Arial"/>
                <w:b/>
                <w:bCs/>
              </w:rPr>
              <w:t>42 miljoen</w:t>
            </w:r>
          </w:p>
        </w:tc>
      </w:tr>
      <w:tr w:rsidR="00AC565F" w:rsidRPr="00AC565F">
        <w:tc>
          <w:tcPr>
            <w:tcW w:w="962" w:type="dxa"/>
            <w:vMerge w:val="restart"/>
            <w:shd w:val="clear" w:color="auto" w:fill="D99594" w:themeFill="accent2" w:themeFillTint="99"/>
          </w:tcPr>
          <w:p w:rsidR="00AC565F" w:rsidRPr="00AC565F" w:rsidRDefault="00AC565F" w:rsidP="002E5E96">
            <w:pPr>
              <w:rPr>
                <w:rFonts w:cs="Arial"/>
                <w:b/>
                <w:bCs/>
                <w:lang w:val="nl-BE"/>
              </w:rPr>
            </w:pPr>
            <w:r w:rsidRPr="00AC565F">
              <w:rPr>
                <w:rFonts w:cs="Arial"/>
                <w:b/>
                <w:bCs/>
                <w:lang w:val="nl-BE"/>
              </w:rPr>
              <w:t>2</w:t>
            </w:r>
            <w:r w:rsidRPr="00AC565F">
              <w:rPr>
                <w:rFonts w:cs="Arial"/>
                <w:b/>
                <w:bCs/>
                <w:shd w:val="clear" w:color="auto" w:fill="D99594" w:themeFill="accent2" w:themeFillTint="99"/>
                <w:lang w:val="nl-BE"/>
              </w:rPr>
              <w:t>011</w:t>
            </w:r>
          </w:p>
        </w:tc>
        <w:tc>
          <w:tcPr>
            <w:tcW w:w="1367" w:type="dxa"/>
            <w:shd w:val="clear" w:color="auto" w:fill="D99594" w:themeFill="accent2" w:themeFillTint="99"/>
          </w:tcPr>
          <w:p w:rsidR="00AC565F" w:rsidRPr="00AC565F" w:rsidRDefault="00AC565F" w:rsidP="002E5E96">
            <w:pPr>
              <w:rPr>
                <w:rFonts w:cs="Arial"/>
                <w:b/>
                <w:bCs/>
              </w:rPr>
            </w:pPr>
            <w:r w:rsidRPr="00AC565F">
              <w:rPr>
                <w:rFonts w:cs="Arial"/>
                <w:b/>
                <w:bCs/>
              </w:rPr>
              <w:t>Van</w:t>
            </w:r>
          </w:p>
        </w:tc>
        <w:tc>
          <w:tcPr>
            <w:tcW w:w="1274" w:type="dxa"/>
            <w:shd w:val="clear" w:color="auto" w:fill="D99594" w:themeFill="accent2" w:themeFillTint="99"/>
          </w:tcPr>
          <w:p w:rsidR="00AC565F" w:rsidRPr="00AC565F" w:rsidRDefault="00AC565F" w:rsidP="002E5E96">
            <w:pPr>
              <w:rPr>
                <w:rFonts w:cs="Arial"/>
                <w:b/>
                <w:bCs/>
              </w:rPr>
            </w:pPr>
            <w:r w:rsidRPr="00AC565F">
              <w:rPr>
                <w:rFonts w:cs="Arial"/>
                <w:b/>
                <w:bCs/>
              </w:rPr>
              <w:t>Bedrag</w:t>
            </w:r>
          </w:p>
        </w:tc>
        <w:tc>
          <w:tcPr>
            <w:tcW w:w="1624" w:type="dxa"/>
            <w:shd w:val="clear" w:color="auto" w:fill="D99594" w:themeFill="accent2" w:themeFillTint="99"/>
          </w:tcPr>
          <w:p w:rsidR="00AC565F" w:rsidRPr="00AC565F" w:rsidRDefault="00AC565F" w:rsidP="002E5E96">
            <w:pPr>
              <w:rPr>
                <w:rFonts w:cs="Arial"/>
                <w:b/>
                <w:bCs/>
              </w:rPr>
            </w:pPr>
            <w:r w:rsidRPr="00AC565F">
              <w:rPr>
                <w:rFonts w:cs="Arial"/>
                <w:b/>
                <w:bCs/>
              </w:rPr>
              <w:t>Via</w:t>
            </w:r>
          </w:p>
        </w:tc>
        <w:tc>
          <w:tcPr>
            <w:tcW w:w="2872" w:type="dxa"/>
            <w:shd w:val="clear" w:color="auto" w:fill="D99594" w:themeFill="accent2" w:themeFillTint="99"/>
          </w:tcPr>
          <w:p w:rsidR="00AC565F" w:rsidRPr="00AC565F" w:rsidRDefault="00AC565F" w:rsidP="002E5E96">
            <w:pPr>
              <w:rPr>
                <w:rFonts w:cs="Arial"/>
                <w:b/>
                <w:bCs/>
              </w:rPr>
            </w:pPr>
            <w:r w:rsidRPr="00AC565F">
              <w:rPr>
                <w:rFonts w:cs="Arial"/>
                <w:b/>
                <w:bCs/>
              </w:rPr>
              <w:t>Naar</w:t>
            </w:r>
          </w:p>
        </w:tc>
        <w:tc>
          <w:tcPr>
            <w:tcW w:w="1251" w:type="dxa"/>
            <w:shd w:val="clear" w:color="auto" w:fill="D99594" w:themeFill="accent2" w:themeFillTint="99"/>
          </w:tcPr>
          <w:p w:rsidR="00AC565F" w:rsidRPr="00AC565F" w:rsidRDefault="00AC565F" w:rsidP="002E5E96">
            <w:pPr>
              <w:rPr>
                <w:rFonts w:cs="Arial"/>
                <w:b/>
                <w:bCs/>
              </w:rPr>
            </w:pPr>
            <w:r w:rsidRPr="00AC565F">
              <w:rPr>
                <w:rFonts w:cs="Arial"/>
                <w:b/>
                <w:bCs/>
              </w:rPr>
              <w:t>Additioneel</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val="restart"/>
          </w:tcPr>
          <w:p w:rsidR="00AC565F" w:rsidRPr="00AC565F" w:rsidRDefault="00AC565F" w:rsidP="002E5E96">
            <w:pPr>
              <w:rPr>
                <w:rFonts w:cs="Arial"/>
                <w:bCs/>
              </w:rPr>
            </w:pPr>
            <w:r w:rsidRPr="00AC565F">
              <w:rPr>
                <w:rFonts w:cs="Arial"/>
                <w:bCs/>
              </w:rPr>
              <w:t>Federaal</w:t>
            </w:r>
          </w:p>
        </w:tc>
        <w:tc>
          <w:tcPr>
            <w:tcW w:w="1274" w:type="dxa"/>
          </w:tcPr>
          <w:p w:rsidR="00AC565F" w:rsidRPr="00AC565F" w:rsidRDefault="00AC565F" w:rsidP="002E5E96">
            <w:pPr>
              <w:rPr>
                <w:rFonts w:cs="Arial"/>
                <w:bCs/>
              </w:rPr>
            </w:pPr>
            <w:r w:rsidRPr="00AC565F">
              <w:rPr>
                <w:rFonts w:cs="Arial"/>
                <w:bCs/>
              </w:rPr>
              <w:t>10 miljoen</w:t>
            </w:r>
          </w:p>
        </w:tc>
        <w:tc>
          <w:tcPr>
            <w:tcW w:w="1624" w:type="dxa"/>
          </w:tcPr>
          <w:p w:rsidR="00AC565F" w:rsidRPr="00AC565F" w:rsidRDefault="00AC565F" w:rsidP="002E5E96">
            <w:pPr>
              <w:rPr>
                <w:rFonts w:cs="Arial"/>
                <w:bCs/>
              </w:rPr>
            </w:pPr>
            <w:r w:rsidRPr="00AC565F">
              <w:rPr>
                <w:rFonts w:cs="Arial"/>
                <w:bCs/>
              </w:rPr>
              <w:t>LDC Fund</w:t>
            </w:r>
          </w:p>
        </w:tc>
        <w:tc>
          <w:tcPr>
            <w:tcW w:w="2872" w:type="dxa"/>
          </w:tcPr>
          <w:p w:rsidR="00AC565F" w:rsidRPr="00AC565F" w:rsidRDefault="00AC565F" w:rsidP="002E5E96">
            <w:pPr>
              <w:rPr>
                <w:rFonts w:cs="Arial"/>
                <w:bCs/>
              </w:rPr>
            </w:pPr>
            <w:r w:rsidRPr="00AC565F">
              <w:rPr>
                <w:rFonts w:cs="Arial"/>
                <w:bCs/>
              </w:rPr>
              <w:t>Adaptatie</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10 miljoen</w:t>
            </w:r>
          </w:p>
        </w:tc>
        <w:tc>
          <w:tcPr>
            <w:tcW w:w="1624" w:type="dxa"/>
          </w:tcPr>
          <w:p w:rsidR="00AC565F" w:rsidRPr="00AC565F" w:rsidRDefault="00AC565F" w:rsidP="002E5E96">
            <w:pPr>
              <w:rPr>
                <w:rFonts w:cs="Arial"/>
                <w:bCs/>
              </w:rPr>
            </w:pPr>
            <w:r w:rsidRPr="00AC565F">
              <w:rPr>
                <w:rFonts w:cs="Arial"/>
                <w:bCs/>
              </w:rPr>
              <w:t>Special Climate Change Fund</w:t>
            </w:r>
          </w:p>
        </w:tc>
        <w:tc>
          <w:tcPr>
            <w:tcW w:w="2872" w:type="dxa"/>
          </w:tcPr>
          <w:p w:rsidR="00AC565F" w:rsidRPr="00AC565F" w:rsidRDefault="00AC565F" w:rsidP="002E5E96">
            <w:pPr>
              <w:rPr>
                <w:rFonts w:cs="Arial"/>
                <w:bCs/>
              </w:rPr>
            </w:pPr>
            <w:r w:rsidRPr="00AC565F">
              <w:rPr>
                <w:rFonts w:cs="Arial"/>
                <w:bCs/>
              </w:rPr>
              <w:t>Technology transfer</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val="restart"/>
          </w:tcPr>
          <w:p w:rsidR="00AC565F" w:rsidRPr="00AC565F" w:rsidRDefault="00AC565F" w:rsidP="002E5E96">
            <w:pPr>
              <w:rPr>
                <w:rFonts w:cs="Arial"/>
                <w:bCs/>
              </w:rPr>
            </w:pPr>
            <w:r w:rsidRPr="00AC565F">
              <w:rPr>
                <w:rFonts w:cs="Arial"/>
                <w:bCs/>
              </w:rPr>
              <w:t>Wallonië</w:t>
            </w:r>
          </w:p>
        </w:tc>
        <w:tc>
          <w:tcPr>
            <w:tcW w:w="1274" w:type="dxa"/>
          </w:tcPr>
          <w:p w:rsidR="00AC565F" w:rsidRPr="00AC565F" w:rsidRDefault="00AC565F" w:rsidP="002E5E96">
            <w:pPr>
              <w:rPr>
                <w:rFonts w:cs="Arial"/>
                <w:bCs/>
              </w:rPr>
            </w:pPr>
            <w:r w:rsidRPr="00AC565F">
              <w:rPr>
                <w:rFonts w:cs="Arial"/>
                <w:bCs/>
              </w:rPr>
              <w:t>1.2 miljoen</w:t>
            </w:r>
          </w:p>
        </w:tc>
        <w:tc>
          <w:tcPr>
            <w:tcW w:w="1624" w:type="dxa"/>
          </w:tcPr>
          <w:p w:rsidR="00AC565F" w:rsidRPr="00AC565F" w:rsidRDefault="00AC565F" w:rsidP="002E5E96">
            <w:pPr>
              <w:rPr>
                <w:rFonts w:cs="Arial"/>
                <w:bCs/>
              </w:rPr>
            </w:pPr>
            <w:r w:rsidRPr="00AC565F">
              <w:rPr>
                <w:rFonts w:cs="Arial"/>
                <w:bCs/>
              </w:rPr>
              <w:t>Yasuni</w:t>
            </w:r>
          </w:p>
        </w:tc>
        <w:tc>
          <w:tcPr>
            <w:tcW w:w="2872" w:type="dxa"/>
          </w:tcPr>
          <w:p w:rsidR="00AC565F" w:rsidRPr="00AC565F" w:rsidRDefault="00AC565F" w:rsidP="002E5E96">
            <w:pPr>
              <w:rPr>
                <w:rFonts w:cs="Arial"/>
                <w:bCs/>
              </w:rPr>
            </w:pPr>
            <w:r w:rsidRPr="00AC565F">
              <w:rPr>
                <w:rFonts w:cs="Arial"/>
                <w:bCs/>
              </w:rPr>
              <w:t>Bosbehoud  in Ecuador</w:t>
            </w:r>
          </w:p>
        </w:tc>
        <w:tc>
          <w:tcPr>
            <w:tcW w:w="1251" w:type="dxa"/>
          </w:tcPr>
          <w:p w:rsidR="00AC565F" w:rsidRPr="00AC565F" w:rsidRDefault="00AC565F" w:rsidP="002E5E96">
            <w:pPr>
              <w:rPr>
                <w:rFonts w:cs="Arial"/>
                <w:bCs/>
              </w:rPr>
            </w:pPr>
            <w:r w:rsidRPr="00AC565F">
              <w:rPr>
                <w:rFonts w:cs="Arial"/>
                <w:bCs/>
              </w:rPr>
              <w:t>Ja</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0.5</w:t>
            </w:r>
          </w:p>
        </w:tc>
        <w:tc>
          <w:tcPr>
            <w:tcW w:w="1624" w:type="dxa"/>
          </w:tcPr>
          <w:p w:rsidR="00AC565F" w:rsidRPr="00AC565F" w:rsidRDefault="00AC565F" w:rsidP="002E5E96">
            <w:pPr>
              <w:rPr>
                <w:rFonts w:cs="Arial"/>
                <w:bCs/>
                <w:lang w:val="fr-BE"/>
              </w:rPr>
            </w:pPr>
            <w:r w:rsidRPr="00AC565F">
              <w:rPr>
                <w:rFonts w:cs="Arial"/>
                <w:bCs/>
                <w:lang w:val="fr-BE"/>
              </w:rPr>
              <w:t>Fonds de solidarité internationale de l’eau</w:t>
            </w:r>
          </w:p>
        </w:tc>
        <w:tc>
          <w:tcPr>
            <w:tcW w:w="2872" w:type="dxa"/>
          </w:tcPr>
          <w:p w:rsidR="00AC565F" w:rsidRPr="00AC565F" w:rsidRDefault="00AC565F" w:rsidP="002E5E96">
            <w:pPr>
              <w:rPr>
                <w:rFonts w:cs="Arial"/>
                <w:bCs/>
                <w:lang w:val="fr-BE"/>
              </w:rPr>
            </w:pPr>
            <w:r w:rsidRPr="00AC565F">
              <w:rPr>
                <w:rFonts w:cs="Arial"/>
                <w:bCs/>
                <w:lang w:val="fr-BE"/>
              </w:rPr>
              <w:t>Adaptatie</w:t>
            </w:r>
          </w:p>
        </w:tc>
        <w:tc>
          <w:tcPr>
            <w:tcW w:w="1251" w:type="dxa"/>
          </w:tcPr>
          <w:p w:rsidR="00AC565F" w:rsidRPr="00AC565F" w:rsidRDefault="00AC565F" w:rsidP="002E5E96">
            <w:pPr>
              <w:rPr>
                <w:rFonts w:cs="Arial"/>
                <w:bCs/>
                <w:lang w:val="fr-BE"/>
              </w:rPr>
            </w:pPr>
            <w:r w:rsidRPr="00AC565F">
              <w:rPr>
                <w:rFonts w:cs="Arial"/>
                <w:bCs/>
                <w:lang w:val="fr-BE"/>
              </w:rPr>
              <w:t>Ja</w:t>
            </w:r>
          </w:p>
        </w:tc>
      </w:tr>
      <w:tr w:rsidR="00AC565F" w:rsidRPr="00AC565F">
        <w:tc>
          <w:tcPr>
            <w:tcW w:w="962" w:type="dxa"/>
            <w:vMerge/>
            <w:shd w:val="clear" w:color="auto" w:fill="D99594" w:themeFill="accent2" w:themeFillTint="99"/>
          </w:tcPr>
          <w:p w:rsidR="00AC565F" w:rsidRPr="00AC565F" w:rsidRDefault="00AC565F" w:rsidP="002E5E96">
            <w:pPr>
              <w:rPr>
                <w:rFonts w:cs="Arial"/>
                <w:b/>
                <w:bCs/>
                <w:lang w:val="fr-BE"/>
              </w:rPr>
            </w:pPr>
          </w:p>
        </w:tc>
        <w:tc>
          <w:tcPr>
            <w:tcW w:w="1367" w:type="dxa"/>
            <w:vMerge/>
          </w:tcPr>
          <w:p w:rsidR="00AC565F" w:rsidRPr="00AC565F" w:rsidRDefault="00AC565F" w:rsidP="002E5E96">
            <w:pPr>
              <w:rPr>
                <w:rFonts w:cs="Arial"/>
                <w:bCs/>
                <w:lang w:val="fr-BE"/>
              </w:rPr>
            </w:pPr>
          </w:p>
        </w:tc>
        <w:tc>
          <w:tcPr>
            <w:tcW w:w="1274" w:type="dxa"/>
          </w:tcPr>
          <w:p w:rsidR="00AC565F" w:rsidRPr="00AC565F" w:rsidRDefault="00AC565F" w:rsidP="002E5E96">
            <w:pPr>
              <w:rPr>
                <w:rFonts w:cs="Arial"/>
                <w:bCs/>
              </w:rPr>
            </w:pPr>
            <w:r w:rsidRPr="00AC565F">
              <w:rPr>
                <w:rFonts w:cs="Arial"/>
                <w:bCs/>
              </w:rPr>
              <w:t>2.4</w:t>
            </w:r>
          </w:p>
        </w:tc>
        <w:tc>
          <w:tcPr>
            <w:tcW w:w="1624" w:type="dxa"/>
          </w:tcPr>
          <w:p w:rsidR="00AC565F" w:rsidRPr="00AC565F" w:rsidRDefault="00AC565F" w:rsidP="002E5E96">
            <w:pPr>
              <w:rPr>
                <w:rFonts w:cs="Arial"/>
                <w:bCs/>
              </w:rPr>
            </w:pPr>
          </w:p>
        </w:tc>
        <w:tc>
          <w:tcPr>
            <w:tcW w:w="2872" w:type="dxa"/>
          </w:tcPr>
          <w:p w:rsidR="00AC565F" w:rsidRPr="00AC565F" w:rsidRDefault="00AC565F" w:rsidP="002E5E96">
            <w:pPr>
              <w:rPr>
                <w:rFonts w:cs="Arial"/>
                <w:bCs/>
                <w:lang w:val="es-ES"/>
              </w:rPr>
            </w:pPr>
            <w:r w:rsidRPr="00AC565F">
              <w:rPr>
                <w:rFonts w:cs="Arial"/>
                <w:bCs/>
                <w:lang w:val="es-ES"/>
              </w:rPr>
              <w:t>Mitigatie en adaptatie in Senegal, Benin, Burkina Faso, Burundi, Congo, Rwanda en Haití</w:t>
            </w:r>
          </w:p>
        </w:tc>
        <w:tc>
          <w:tcPr>
            <w:tcW w:w="1251" w:type="dxa"/>
          </w:tcPr>
          <w:p w:rsidR="00AC565F" w:rsidRPr="00AC565F" w:rsidRDefault="00AC565F" w:rsidP="002E5E96">
            <w:pPr>
              <w:rPr>
                <w:rFonts w:cs="Arial"/>
                <w:bCs/>
                <w:lang w:val="es-ES"/>
              </w:rPr>
            </w:pPr>
            <w:r w:rsidRPr="00AC565F">
              <w:rPr>
                <w:rFonts w:cs="Arial"/>
                <w:bCs/>
                <w:lang w:val="es-ES"/>
              </w:rPr>
              <w:t>Ja</w:t>
            </w:r>
          </w:p>
        </w:tc>
      </w:tr>
      <w:tr w:rsidR="00AC565F" w:rsidRPr="00AC565F">
        <w:tc>
          <w:tcPr>
            <w:tcW w:w="962" w:type="dxa"/>
            <w:vMerge/>
            <w:shd w:val="clear" w:color="auto" w:fill="D99594" w:themeFill="accent2" w:themeFillTint="99"/>
          </w:tcPr>
          <w:p w:rsidR="00AC565F" w:rsidRPr="00AC565F" w:rsidRDefault="00AC565F" w:rsidP="002E5E96">
            <w:pPr>
              <w:rPr>
                <w:rFonts w:cs="Arial"/>
                <w:b/>
                <w:bCs/>
                <w:lang w:val="es-ES"/>
              </w:rPr>
            </w:pPr>
          </w:p>
        </w:tc>
        <w:tc>
          <w:tcPr>
            <w:tcW w:w="1367" w:type="dxa"/>
            <w:vMerge w:val="restart"/>
          </w:tcPr>
          <w:p w:rsidR="00AC565F" w:rsidRPr="00AC565F" w:rsidRDefault="00AC565F" w:rsidP="002E5E96">
            <w:pPr>
              <w:rPr>
                <w:rFonts w:cs="Arial"/>
                <w:bCs/>
              </w:rPr>
            </w:pPr>
            <w:r w:rsidRPr="00AC565F">
              <w:rPr>
                <w:rFonts w:cs="Arial"/>
                <w:bCs/>
              </w:rPr>
              <w:t>Vlaanderen</w:t>
            </w:r>
          </w:p>
        </w:tc>
        <w:tc>
          <w:tcPr>
            <w:tcW w:w="1274" w:type="dxa"/>
          </w:tcPr>
          <w:p w:rsidR="00AC565F" w:rsidRPr="00AC565F" w:rsidRDefault="00AC565F" w:rsidP="002E5E96">
            <w:pPr>
              <w:rPr>
                <w:rFonts w:cs="Arial"/>
                <w:bCs/>
              </w:rPr>
            </w:pPr>
            <w:r w:rsidRPr="00AC565F">
              <w:rPr>
                <w:rFonts w:cs="Arial"/>
                <w:bCs/>
              </w:rPr>
              <w:t>0.275 miljoen</w:t>
            </w:r>
          </w:p>
        </w:tc>
        <w:tc>
          <w:tcPr>
            <w:tcW w:w="1624" w:type="dxa"/>
          </w:tcPr>
          <w:p w:rsidR="00AC565F" w:rsidRPr="00AC565F" w:rsidRDefault="00AC565F" w:rsidP="002E5E96">
            <w:pPr>
              <w:rPr>
                <w:rFonts w:cs="Arial"/>
                <w:bCs/>
              </w:rPr>
            </w:pPr>
            <w:r w:rsidRPr="00AC565F">
              <w:rPr>
                <w:rFonts w:cs="Arial"/>
                <w:bCs/>
              </w:rPr>
              <w:t>One UN Fund for Malawi (UNDP)</w:t>
            </w:r>
          </w:p>
        </w:tc>
        <w:tc>
          <w:tcPr>
            <w:tcW w:w="2872" w:type="dxa"/>
          </w:tcPr>
          <w:p w:rsidR="00AC565F" w:rsidRPr="00AC565F" w:rsidRDefault="00AC565F" w:rsidP="002E5E96">
            <w:pPr>
              <w:rPr>
                <w:rFonts w:cs="Arial"/>
                <w:bCs/>
                <w:lang w:val="nl-BE"/>
              </w:rPr>
            </w:pPr>
            <w:r w:rsidRPr="00AC565F">
              <w:rPr>
                <w:rFonts w:cs="Arial"/>
                <w:bCs/>
                <w:lang w:val="nl-BE"/>
              </w:rPr>
              <w:t>Nationaal programma voor aanpak klimaatverandering Mitigatie en adaptatie</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lang w:val="es-E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0.401 miljoen</w:t>
            </w:r>
          </w:p>
        </w:tc>
        <w:tc>
          <w:tcPr>
            <w:tcW w:w="1624" w:type="dxa"/>
          </w:tcPr>
          <w:p w:rsidR="00AC565F" w:rsidRPr="00AC565F" w:rsidRDefault="00AC565F" w:rsidP="002E5E96">
            <w:pPr>
              <w:rPr>
                <w:rFonts w:cs="Arial"/>
                <w:bCs/>
                <w:lang w:val="nl-BE"/>
              </w:rPr>
            </w:pPr>
            <w:r w:rsidRPr="00AC565F">
              <w:rPr>
                <w:rFonts w:cs="Arial"/>
                <w:bCs/>
                <w:lang w:val="nl-BE"/>
              </w:rPr>
              <w:t>Vlaams Partnerschap Water Voor Ontwikkeling</w:t>
            </w:r>
          </w:p>
        </w:tc>
        <w:tc>
          <w:tcPr>
            <w:tcW w:w="2872" w:type="dxa"/>
          </w:tcPr>
          <w:p w:rsidR="00AC565F" w:rsidRPr="00AC565F" w:rsidRDefault="00AC565F" w:rsidP="002E5E96">
            <w:pPr>
              <w:rPr>
                <w:rFonts w:cs="Arial"/>
                <w:bCs/>
                <w:lang w:val="nl-BE"/>
              </w:rPr>
            </w:pPr>
            <w:r w:rsidRPr="00AC565F">
              <w:rPr>
                <w:rFonts w:cs="Arial"/>
                <w:bCs/>
                <w:lang w:val="nl-BE"/>
              </w:rPr>
              <w:t>Projecten rond water, sanitatie en duurzaam beheer van natuurlijke rijkdommen</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lang w:val="es-E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0.314</w:t>
            </w:r>
          </w:p>
        </w:tc>
        <w:tc>
          <w:tcPr>
            <w:tcW w:w="1624" w:type="dxa"/>
          </w:tcPr>
          <w:p w:rsidR="00AC565F" w:rsidRPr="00AC565F" w:rsidRDefault="00AC565F" w:rsidP="002E5E96">
            <w:pPr>
              <w:rPr>
                <w:rFonts w:cs="Arial"/>
                <w:bCs/>
              </w:rPr>
            </w:pPr>
            <w:r w:rsidRPr="00AC565F">
              <w:rPr>
                <w:rFonts w:cs="Arial"/>
                <w:bCs/>
              </w:rPr>
              <w:t>Rode Kruis</w:t>
            </w:r>
          </w:p>
        </w:tc>
        <w:tc>
          <w:tcPr>
            <w:tcW w:w="2872" w:type="dxa"/>
          </w:tcPr>
          <w:p w:rsidR="00AC565F" w:rsidRPr="00AC565F" w:rsidRDefault="00AC565F" w:rsidP="002E5E96">
            <w:pPr>
              <w:rPr>
                <w:rFonts w:cs="Arial"/>
                <w:bCs/>
              </w:rPr>
            </w:pPr>
            <w:r w:rsidRPr="00AC565F">
              <w:rPr>
                <w:rFonts w:cs="Arial"/>
                <w:bCs/>
              </w:rPr>
              <w:t>Zambezi River Basin: Improve the disaster preparedness and emergency response capacity of the Mozambican Red Cross</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tcPr>
          <w:p w:rsidR="00AC565F" w:rsidRPr="00AC565F" w:rsidRDefault="00AC565F" w:rsidP="002E5E96">
            <w:pPr>
              <w:rPr>
                <w:rFonts w:cs="Arial"/>
                <w:bCs/>
              </w:rPr>
            </w:pPr>
            <w:r w:rsidRPr="00AC565F">
              <w:rPr>
                <w:rFonts w:cs="Arial"/>
                <w:bCs/>
              </w:rPr>
              <w:t>Brussel</w:t>
            </w:r>
          </w:p>
        </w:tc>
        <w:tc>
          <w:tcPr>
            <w:tcW w:w="1274" w:type="dxa"/>
          </w:tcPr>
          <w:p w:rsidR="00AC565F" w:rsidRPr="00AC565F" w:rsidRDefault="00AC565F" w:rsidP="002E5E96">
            <w:pPr>
              <w:rPr>
                <w:rFonts w:cs="Arial"/>
                <w:bCs/>
              </w:rPr>
            </w:pPr>
            <w:r w:rsidRPr="00AC565F">
              <w:rPr>
                <w:rFonts w:cs="Arial"/>
                <w:bCs/>
              </w:rPr>
              <w:t>0</w:t>
            </w:r>
          </w:p>
        </w:tc>
        <w:tc>
          <w:tcPr>
            <w:tcW w:w="1624" w:type="dxa"/>
          </w:tcPr>
          <w:p w:rsidR="00AC565F" w:rsidRPr="00AC565F" w:rsidRDefault="00AC565F" w:rsidP="002E5E96">
            <w:pPr>
              <w:rPr>
                <w:rFonts w:cs="Arial"/>
                <w:bCs/>
              </w:rPr>
            </w:pPr>
          </w:p>
        </w:tc>
        <w:tc>
          <w:tcPr>
            <w:tcW w:w="2872" w:type="dxa"/>
          </w:tcPr>
          <w:p w:rsidR="00AC565F" w:rsidRPr="00AC565F" w:rsidRDefault="00AC565F" w:rsidP="002E5E96">
            <w:pPr>
              <w:rPr>
                <w:rFonts w:cs="Arial"/>
                <w:bCs/>
              </w:rPr>
            </w:pPr>
          </w:p>
        </w:tc>
        <w:tc>
          <w:tcPr>
            <w:tcW w:w="1251" w:type="dxa"/>
          </w:tcPr>
          <w:p w:rsidR="00AC565F" w:rsidRPr="00AC565F" w:rsidRDefault="00AC565F" w:rsidP="002E5E96">
            <w:pPr>
              <w:rPr>
                <w:rFonts w:cs="Arial"/>
                <w:bCs/>
              </w:rPr>
            </w:pPr>
          </w:p>
        </w:tc>
      </w:tr>
      <w:tr w:rsidR="00AC565F" w:rsidRPr="00AC565F">
        <w:tc>
          <w:tcPr>
            <w:tcW w:w="962" w:type="dxa"/>
            <w:shd w:val="clear" w:color="auto" w:fill="943634" w:themeFill="accent2" w:themeFillShade="BF"/>
          </w:tcPr>
          <w:p w:rsidR="00AC565F" w:rsidRPr="00AC565F" w:rsidRDefault="00AC565F" w:rsidP="002E5E96">
            <w:pPr>
              <w:rPr>
                <w:rFonts w:cs="Arial"/>
                <w:b/>
                <w:bCs/>
              </w:rPr>
            </w:pPr>
            <w:r w:rsidRPr="00AC565F">
              <w:rPr>
                <w:rFonts w:cs="Arial"/>
                <w:b/>
                <w:bCs/>
              </w:rPr>
              <w:t>TOTAAL</w:t>
            </w:r>
          </w:p>
        </w:tc>
        <w:tc>
          <w:tcPr>
            <w:tcW w:w="8388" w:type="dxa"/>
            <w:gridSpan w:val="5"/>
            <w:shd w:val="clear" w:color="auto" w:fill="943634" w:themeFill="accent2" w:themeFillShade="BF"/>
          </w:tcPr>
          <w:p w:rsidR="00AC565F" w:rsidRPr="00AC565F" w:rsidRDefault="00AC565F" w:rsidP="002E5E96">
            <w:pPr>
              <w:jc w:val="right"/>
              <w:rPr>
                <w:rFonts w:cs="Arial"/>
                <w:b/>
                <w:bCs/>
              </w:rPr>
            </w:pPr>
            <w:r w:rsidRPr="00AC565F">
              <w:rPr>
                <w:rFonts w:cs="Arial"/>
                <w:b/>
                <w:bCs/>
              </w:rPr>
              <w:t>24,4 miljoen</w:t>
            </w:r>
          </w:p>
        </w:tc>
      </w:tr>
      <w:tr w:rsidR="00AC565F" w:rsidRPr="00AC565F">
        <w:tc>
          <w:tcPr>
            <w:tcW w:w="962" w:type="dxa"/>
            <w:vMerge w:val="restart"/>
            <w:shd w:val="clear" w:color="auto" w:fill="D99594" w:themeFill="accent2" w:themeFillTint="99"/>
          </w:tcPr>
          <w:p w:rsidR="00AC565F" w:rsidRPr="00AC565F" w:rsidRDefault="00AC565F" w:rsidP="002E5E96">
            <w:pPr>
              <w:rPr>
                <w:rFonts w:cs="Arial"/>
                <w:b/>
                <w:bCs/>
                <w:lang w:val="nl-BE"/>
              </w:rPr>
            </w:pPr>
            <w:r w:rsidRPr="00AC565F">
              <w:rPr>
                <w:rFonts w:cs="Arial"/>
                <w:b/>
                <w:bCs/>
                <w:lang w:val="nl-BE"/>
              </w:rPr>
              <w:t>2012</w:t>
            </w:r>
          </w:p>
        </w:tc>
        <w:tc>
          <w:tcPr>
            <w:tcW w:w="1367" w:type="dxa"/>
            <w:shd w:val="clear" w:color="auto" w:fill="auto"/>
          </w:tcPr>
          <w:p w:rsidR="00AC565F" w:rsidRPr="00AC565F" w:rsidRDefault="00AC565F" w:rsidP="002E5E96">
            <w:pPr>
              <w:rPr>
                <w:rFonts w:cs="Arial"/>
                <w:b/>
                <w:bCs/>
              </w:rPr>
            </w:pPr>
            <w:r w:rsidRPr="00AC565F">
              <w:rPr>
                <w:rFonts w:cs="Arial"/>
                <w:b/>
                <w:bCs/>
              </w:rPr>
              <w:t>Van</w:t>
            </w:r>
          </w:p>
        </w:tc>
        <w:tc>
          <w:tcPr>
            <w:tcW w:w="1274" w:type="dxa"/>
            <w:shd w:val="clear" w:color="auto" w:fill="auto"/>
          </w:tcPr>
          <w:p w:rsidR="00AC565F" w:rsidRPr="00AC565F" w:rsidRDefault="00AC565F" w:rsidP="002E5E96">
            <w:pPr>
              <w:rPr>
                <w:rFonts w:cs="Arial"/>
                <w:b/>
                <w:bCs/>
              </w:rPr>
            </w:pPr>
            <w:r w:rsidRPr="00AC565F">
              <w:rPr>
                <w:rFonts w:cs="Arial"/>
                <w:b/>
                <w:bCs/>
              </w:rPr>
              <w:t>Bedrag</w:t>
            </w:r>
          </w:p>
        </w:tc>
        <w:tc>
          <w:tcPr>
            <w:tcW w:w="1624" w:type="dxa"/>
            <w:shd w:val="clear" w:color="auto" w:fill="auto"/>
          </w:tcPr>
          <w:p w:rsidR="00AC565F" w:rsidRPr="00AC565F" w:rsidRDefault="00AC565F" w:rsidP="002E5E96">
            <w:pPr>
              <w:rPr>
                <w:rFonts w:cs="Arial"/>
                <w:b/>
                <w:bCs/>
              </w:rPr>
            </w:pPr>
            <w:r w:rsidRPr="00AC565F">
              <w:rPr>
                <w:rFonts w:cs="Arial"/>
                <w:b/>
                <w:bCs/>
              </w:rPr>
              <w:t>Via</w:t>
            </w:r>
          </w:p>
        </w:tc>
        <w:tc>
          <w:tcPr>
            <w:tcW w:w="2872" w:type="dxa"/>
            <w:shd w:val="clear" w:color="auto" w:fill="auto"/>
          </w:tcPr>
          <w:p w:rsidR="00AC565F" w:rsidRPr="00AC565F" w:rsidRDefault="00AC565F" w:rsidP="002E5E96">
            <w:pPr>
              <w:rPr>
                <w:rFonts w:cs="Arial"/>
                <w:b/>
                <w:bCs/>
              </w:rPr>
            </w:pPr>
            <w:r w:rsidRPr="00AC565F">
              <w:rPr>
                <w:rFonts w:cs="Arial"/>
                <w:b/>
                <w:bCs/>
              </w:rPr>
              <w:t>Naar</w:t>
            </w:r>
          </w:p>
        </w:tc>
        <w:tc>
          <w:tcPr>
            <w:tcW w:w="1251" w:type="dxa"/>
            <w:shd w:val="clear" w:color="auto" w:fill="auto"/>
          </w:tcPr>
          <w:p w:rsidR="00AC565F" w:rsidRPr="00AC565F" w:rsidRDefault="00AC565F" w:rsidP="002E5E96">
            <w:pPr>
              <w:rPr>
                <w:rFonts w:cs="Arial"/>
                <w:b/>
                <w:bCs/>
              </w:rPr>
            </w:pPr>
            <w:r w:rsidRPr="00AC565F">
              <w:rPr>
                <w:rFonts w:cs="Arial"/>
                <w:b/>
                <w:bCs/>
              </w:rPr>
              <w:t>Additioneel</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val="restart"/>
          </w:tcPr>
          <w:p w:rsidR="00AC565F" w:rsidRPr="00AC565F" w:rsidRDefault="00AC565F" w:rsidP="002E5E96">
            <w:pPr>
              <w:rPr>
                <w:rFonts w:cs="Arial"/>
                <w:bCs/>
              </w:rPr>
            </w:pPr>
            <w:r w:rsidRPr="00AC565F">
              <w:rPr>
                <w:rFonts w:cs="Arial"/>
                <w:bCs/>
              </w:rPr>
              <w:t>Federale Overheid</w:t>
            </w:r>
          </w:p>
        </w:tc>
        <w:tc>
          <w:tcPr>
            <w:tcW w:w="1274" w:type="dxa"/>
          </w:tcPr>
          <w:p w:rsidR="00AC565F" w:rsidRPr="00AC565F" w:rsidRDefault="00AC565F" w:rsidP="002E5E96">
            <w:pPr>
              <w:rPr>
                <w:rFonts w:cs="Arial"/>
                <w:bCs/>
              </w:rPr>
            </w:pPr>
            <w:r w:rsidRPr="00AC565F">
              <w:rPr>
                <w:rFonts w:cs="Arial"/>
                <w:bCs/>
              </w:rPr>
              <w:t>5 miljoen</w:t>
            </w:r>
          </w:p>
        </w:tc>
        <w:tc>
          <w:tcPr>
            <w:tcW w:w="1624" w:type="dxa"/>
          </w:tcPr>
          <w:p w:rsidR="00AC565F" w:rsidRPr="00AC565F" w:rsidRDefault="00AC565F" w:rsidP="002E5E96">
            <w:pPr>
              <w:rPr>
                <w:rFonts w:cs="Arial"/>
                <w:bCs/>
              </w:rPr>
            </w:pPr>
            <w:r w:rsidRPr="00AC565F">
              <w:rPr>
                <w:rFonts w:cs="Arial"/>
                <w:bCs/>
              </w:rPr>
              <w:t>LDC Fund</w:t>
            </w:r>
          </w:p>
        </w:tc>
        <w:tc>
          <w:tcPr>
            <w:tcW w:w="2872" w:type="dxa"/>
          </w:tcPr>
          <w:p w:rsidR="00AC565F" w:rsidRPr="00AC565F" w:rsidRDefault="00AC565F" w:rsidP="002E5E96">
            <w:pPr>
              <w:rPr>
                <w:rFonts w:cs="Arial"/>
                <w:bCs/>
              </w:rPr>
            </w:pPr>
            <w:r w:rsidRPr="00AC565F">
              <w:rPr>
                <w:rFonts w:cs="Arial"/>
                <w:bCs/>
              </w:rPr>
              <w:t>Adaptatie</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9 miljoen</w:t>
            </w:r>
          </w:p>
        </w:tc>
        <w:tc>
          <w:tcPr>
            <w:tcW w:w="1624" w:type="dxa"/>
          </w:tcPr>
          <w:p w:rsidR="00AC565F" w:rsidRPr="00AC565F" w:rsidRDefault="00AC565F" w:rsidP="002E5E96">
            <w:pPr>
              <w:rPr>
                <w:rFonts w:cs="Arial"/>
                <w:bCs/>
              </w:rPr>
            </w:pPr>
            <w:r w:rsidRPr="00AC565F">
              <w:rPr>
                <w:rFonts w:cs="Arial"/>
                <w:bCs/>
              </w:rPr>
              <w:t>SCCF</w:t>
            </w:r>
          </w:p>
        </w:tc>
        <w:tc>
          <w:tcPr>
            <w:tcW w:w="2872" w:type="dxa"/>
          </w:tcPr>
          <w:p w:rsidR="00AC565F" w:rsidRPr="00AC565F" w:rsidRDefault="00AC565F" w:rsidP="002E5E96">
            <w:pPr>
              <w:rPr>
                <w:rFonts w:cs="Arial"/>
                <w:bCs/>
              </w:rPr>
            </w:pPr>
            <w:r w:rsidRPr="00AC565F">
              <w:rPr>
                <w:rFonts w:cs="Arial"/>
                <w:bCs/>
              </w:rPr>
              <w:t>Technology transfer</w:t>
            </w:r>
          </w:p>
        </w:tc>
        <w:tc>
          <w:tcPr>
            <w:tcW w:w="1251" w:type="dxa"/>
          </w:tcPr>
          <w:p w:rsidR="00AC565F" w:rsidRPr="00AC565F" w:rsidRDefault="00AC565F" w:rsidP="002E5E96">
            <w:pPr>
              <w:rPr>
                <w:rFonts w:cs="Arial"/>
                <w:bCs/>
              </w:rPr>
            </w:pPr>
            <w:r w:rsidRPr="00AC565F">
              <w:rPr>
                <w:rFonts w:cs="Arial"/>
                <w:bCs/>
              </w:rPr>
              <w:t>Nee</w:t>
            </w:r>
          </w:p>
        </w:tc>
      </w:tr>
      <w:tr w:rsidR="00AC565F" w:rsidRPr="00AC565F">
        <w:trPr>
          <w:trHeight w:val="236"/>
        </w:trPr>
        <w:tc>
          <w:tcPr>
            <w:tcW w:w="962" w:type="dxa"/>
            <w:vMerge/>
            <w:shd w:val="clear" w:color="auto" w:fill="D99594" w:themeFill="accent2" w:themeFillTint="99"/>
          </w:tcPr>
          <w:p w:rsidR="00AC565F" w:rsidRPr="00AC565F" w:rsidRDefault="00AC565F" w:rsidP="002E5E96">
            <w:pPr>
              <w:rPr>
                <w:rFonts w:cs="Arial"/>
                <w:b/>
                <w:bCs/>
              </w:rPr>
            </w:pPr>
          </w:p>
        </w:tc>
        <w:tc>
          <w:tcPr>
            <w:tcW w:w="1367" w:type="dxa"/>
          </w:tcPr>
          <w:p w:rsidR="00AC565F" w:rsidRPr="00AC565F" w:rsidRDefault="00AC565F" w:rsidP="002E5E96">
            <w:pPr>
              <w:rPr>
                <w:rFonts w:cs="Arial"/>
                <w:bCs/>
              </w:rPr>
            </w:pPr>
            <w:r w:rsidRPr="00AC565F">
              <w:rPr>
                <w:rFonts w:cs="Arial"/>
                <w:bCs/>
              </w:rPr>
              <w:t>Wallonië</w:t>
            </w:r>
          </w:p>
        </w:tc>
        <w:tc>
          <w:tcPr>
            <w:tcW w:w="1274" w:type="dxa"/>
          </w:tcPr>
          <w:p w:rsidR="00AC565F" w:rsidRPr="00AC565F" w:rsidRDefault="00AC565F" w:rsidP="002E5E96">
            <w:pPr>
              <w:rPr>
                <w:rFonts w:cs="Arial"/>
                <w:bCs/>
              </w:rPr>
            </w:pPr>
            <w:r w:rsidRPr="00AC565F">
              <w:rPr>
                <w:rFonts w:cs="Arial"/>
                <w:bCs/>
              </w:rPr>
              <w:t>Zie hierboven</w:t>
            </w:r>
          </w:p>
        </w:tc>
        <w:tc>
          <w:tcPr>
            <w:tcW w:w="1624" w:type="dxa"/>
          </w:tcPr>
          <w:p w:rsidR="00AC565F" w:rsidRPr="00AC565F" w:rsidRDefault="00AC565F" w:rsidP="002E5E96">
            <w:pPr>
              <w:rPr>
                <w:rFonts w:cs="Arial"/>
                <w:bCs/>
              </w:rPr>
            </w:pPr>
          </w:p>
        </w:tc>
        <w:tc>
          <w:tcPr>
            <w:tcW w:w="2872" w:type="dxa"/>
          </w:tcPr>
          <w:p w:rsidR="00AC565F" w:rsidRPr="00AC565F" w:rsidRDefault="00AC565F" w:rsidP="002E5E96">
            <w:pPr>
              <w:rPr>
                <w:rFonts w:cs="Arial"/>
                <w:bCs/>
              </w:rPr>
            </w:pPr>
          </w:p>
        </w:tc>
        <w:tc>
          <w:tcPr>
            <w:tcW w:w="1251" w:type="dxa"/>
          </w:tcPr>
          <w:p w:rsidR="00AC565F" w:rsidRPr="00AC565F" w:rsidRDefault="00AC565F" w:rsidP="002E5E96">
            <w:pPr>
              <w:rPr>
                <w:rFonts w:cs="Arial"/>
                <w:bCs/>
              </w:rPr>
            </w:pP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val="restart"/>
          </w:tcPr>
          <w:p w:rsidR="00AC565F" w:rsidRPr="00AC565F" w:rsidRDefault="00AC565F" w:rsidP="002E5E96">
            <w:pPr>
              <w:rPr>
                <w:rFonts w:cs="Arial"/>
                <w:bCs/>
              </w:rPr>
            </w:pPr>
            <w:r w:rsidRPr="00AC565F">
              <w:rPr>
                <w:rFonts w:cs="Arial"/>
                <w:bCs/>
              </w:rPr>
              <w:t>Vlaanderen</w:t>
            </w:r>
          </w:p>
        </w:tc>
        <w:tc>
          <w:tcPr>
            <w:tcW w:w="1274" w:type="dxa"/>
          </w:tcPr>
          <w:p w:rsidR="00AC565F" w:rsidRPr="00AC565F" w:rsidRDefault="00AC565F" w:rsidP="002E5E96">
            <w:pPr>
              <w:rPr>
                <w:rFonts w:cs="Arial"/>
                <w:bCs/>
              </w:rPr>
            </w:pPr>
            <w:r w:rsidRPr="00AC565F">
              <w:rPr>
                <w:rFonts w:cs="Arial"/>
                <w:bCs/>
              </w:rPr>
              <w:t>1.5 miljoen</w:t>
            </w:r>
          </w:p>
        </w:tc>
        <w:tc>
          <w:tcPr>
            <w:tcW w:w="1624" w:type="dxa"/>
          </w:tcPr>
          <w:p w:rsidR="00AC565F" w:rsidRPr="00AC565F" w:rsidRDefault="00AC565F" w:rsidP="002E5E96">
            <w:pPr>
              <w:rPr>
                <w:rFonts w:cs="Arial"/>
                <w:bCs/>
              </w:rPr>
            </w:pPr>
            <w:r w:rsidRPr="00AC565F">
              <w:rPr>
                <w:rFonts w:cs="Arial"/>
                <w:bCs/>
              </w:rPr>
              <w:t>ICRAF</w:t>
            </w:r>
          </w:p>
        </w:tc>
        <w:tc>
          <w:tcPr>
            <w:tcW w:w="2872" w:type="dxa"/>
          </w:tcPr>
          <w:p w:rsidR="00AC565F" w:rsidRPr="00AC565F" w:rsidRDefault="00AC565F" w:rsidP="002E5E96">
            <w:pPr>
              <w:rPr>
                <w:rFonts w:cs="Arial"/>
                <w:bCs/>
              </w:rPr>
            </w:pPr>
            <w:r w:rsidRPr="00AC565F">
              <w:rPr>
                <w:rFonts w:cs="Arial"/>
                <w:bCs/>
              </w:rPr>
              <w:t>Building a larger Evergreen Agriculture Networdk for Southern Africa</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0.078 miljoen</w:t>
            </w:r>
          </w:p>
        </w:tc>
        <w:tc>
          <w:tcPr>
            <w:tcW w:w="1624" w:type="dxa"/>
          </w:tcPr>
          <w:p w:rsidR="00AC565F" w:rsidRPr="00AC565F" w:rsidRDefault="00AC565F" w:rsidP="002E5E96">
            <w:pPr>
              <w:rPr>
                <w:rFonts w:cs="Arial"/>
                <w:bCs/>
              </w:rPr>
            </w:pPr>
            <w:r w:rsidRPr="00AC565F">
              <w:rPr>
                <w:rFonts w:cs="Arial"/>
                <w:bCs/>
              </w:rPr>
              <w:t>UNIDO</w:t>
            </w:r>
          </w:p>
        </w:tc>
        <w:tc>
          <w:tcPr>
            <w:tcW w:w="2872" w:type="dxa"/>
          </w:tcPr>
          <w:p w:rsidR="00AC565F" w:rsidRPr="00AC565F" w:rsidRDefault="00AC565F" w:rsidP="002E5E96">
            <w:pPr>
              <w:rPr>
                <w:rFonts w:cs="Arial"/>
                <w:bCs/>
              </w:rPr>
            </w:pPr>
            <w:r w:rsidRPr="00AC565F">
              <w:rPr>
                <w:rFonts w:cs="Arial"/>
                <w:bCs/>
              </w:rPr>
              <w:t>Regional Potential Assessment of Novel Bio-energy Crops</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0.343</w:t>
            </w:r>
          </w:p>
        </w:tc>
        <w:tc>
          <w:tcPr>
            <w:tcW w:w="1624" w:type="dxa"/>
          </w:tcPr>
          <w:p w:rsidR="00AC565F" w:rsidRPr="00AC565F" w:rsidRDefault="00AC565F" w:rsidP="002E5E96">
            <w:pPr>
              <w:rPr>
                <w:rFonts w:cs="Arial"/>
                <w:bCs/>
              </w:rPr>
            </w:pPr>
            <w:r w:rsidRPr="00AC565F">
              <w:rPr>
                <w:rFonts w:cs="Arial"/>
                <w:bCs/>
              </w:rPr>
              <w:t>UNESCO</w:t>
            </w:r>
          </w:p>
        </w:tc>
        <w:tc>
          <w:tcPr>
            <w:tcW w:w="2872" w:type="dxa"/>
          </w:tcPr>
          <w:p w:rsidR="00AC565F" w:rsidRPr="00AC565F" w:rsidRDefault="00AC565F" w:rsidP="002E5E96">
            <w:pPr>
              <w:rPr>
                <w:rFonts w:cs="Arial"/>
                <w:bCs/>
              </w:rPr>
            </w:pPr>
            <w:r w:rsidRPr="00AC565F">
              <w:rPr>
                <w:rFonts w:cs="Arial"/>
                <w:bCs/>
              </w:rPr>
              <w:t>Andean Glacier multidisciplinary Network for Adaptation Strategies</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0.598</w:t>
            </w:r>
          </w:p>
        </w:tc>
        <w:tc>
          <w:tcPr>
            <w:tcW w:w="1624" w:type="dxa"/>
          </w:tcPr>
          <w:p w:rsidR="00AC565F" w:rsidRPr="00AC565F" w:rsidRDefault="00AC565F" w:rsidP="002E5E96">
            <w:pPr>
              <w:rPr>
                <w:rFonts w:cs="Arial"/>
                <w:bCs/>
              </w:rPr>
            </w:pPr>
            <w:r w:rsidRPr="00AC565F">
              <w:rPr>
                <w:rFonts w:cs="Arial"/>
                <w:bCs/>
              </w:rPr>
              <w:t>UNESCO</w:t>
            </w:r>
          </w:p>
        </w:tc>
        <w:tc>
          <w:tcPr>
            <w:tcW w:w="2872" w:type="dxa"/>
          </w:tcPr>
          <w:p w:rsidR="00AC565F" w:rsidRPr="00AC565F" w:rsidRDefault="00AC565F" w:rsidP="002E5E96">
            <w:pPr>
              <w:rPr>
                <w:rFonts w:cs="Arial"/>
                <w:bCs/>
              </w:rPr>
            </w:pPr>
            <w:r w:rsidRPr="00AC565F">
              <w:rPr>
                <w:rFonts w:cs="Arial"/>
                <w:bCs/>
              </w:rPr>
              <w:t>Managing Water Resources in Arid and Semi-Arid regions of Latin America and Caribbean</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0.101</w:t>
            </w:r>
          </w:p>
        </w:tc>
        <w:tc>
          <w:tcPr>
            <w:tcW w:w="1624" w:type="dxa"/>
          </w:tcPr>
          <w:p w:rsidR="00AC565F" w:rsidRPr="00AC565F" w:rsidRDefault="00AC565F" w:rsidP="002E5E96">
            <w:pPr>
              <w:rPr>
                <w:rFonts w:cs="Arial"/>
                <w:bCs/>
              </w:rPr>
            </w:pPr>
            <w:r w:rsidRPr="00AC565F">
              <w:rPr>
                <w:rFonts w:cs="Arial"/>
                <w:bCs/>
              </w:rPr>
              <w:t>Antea Group</w:t>
            </w:r>
          </w:p>
        </w:tc>
        <w:tc>
          <w:tcPr>
            <w:tcW w:w="2872" w:type="dxa"/>
          </w:tcPr>
          <w:p w:rsidR="00AC565F" w:rsidRPr="00AC565F" w:rsidRDefault="00AC565F" w:rsidP="002E5E96">
            <w:pPr>
              <w:rPr>
                <w:rFonts w:cs="Arial"/>
                <w:bCs/>
                <w:lang w:val="nl-BE"/>
              </w:rPr>
            </w:pPr>
            <w:r w:rsidRPr="00AC565F">
              <w:rPr>
                <w:rFonts w:cs="Arial"/>
                <w:bCs/>
                <w:lang w:val="nl-BE"/>
              </w:rPr>
              <w:t xml:space="preserve">Afromainson. Beveiliging van de drinkwater voorziening voor de Gemeente Fort Portal in Oeganda door bekkenbescherming, sensibilisering en capaciteitsopbouw </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0.150</w:t>
            </w:r>
          </w:p>
        </w:tc>
        <w:tc>
          <w:tcPr>
            <w:tcW w:w="1624" w:type="dxa"/>
          </w:tcPr>
          <w:p w:rsidR="00AC565F" w:rsidRPr="00AC565F" w:rsidRDefault="00AC565F" w:rsidP="002E5E96">
            <w:pPr>
              <w:rPr>
                <w:rFonts w:cs="Arial"/>
                <w:bCs/>
              </w:rPr>
            </w:pPr>
            <w:r w:rsidRPr="00AC565F">
              <w:rPr>
                <w:rFonts w:cs="Arial"/>
                <w:bCs/>
              </w:rPr>
              <w:t>UNDP</w:t>
            </w:r>
          </w:p>
        </w:tc>
        <w:tc>
          <w:tcPr>
            <w:tcW w:w="2872" w:type="dxa"/>
          </w:tcPr>
          <w:p w:rsidR="00AC565F" w:rsidRPr="00AC565F" w:rsidRDefault="00AC565F" w:rsidP="002E5E96">
            <w:pPr>
              <w:rPr>
                <w:rFonts w:cs="Arial"/>
                <w:bCs/>
              </w:rPr>
            </w:pPr>
            <w:r w:rsidRPr="00AC565F">
              <w:rPr>
                <w:rFonts w:cs="Arial"/>
                <w:bCs/>
              </w:rPr>
              <w:t>Adapting water resource management in the Comoros to expected climate change 2010-2014</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0.150</w:t>
            </w:r>
          </w:p>
        </w:tc>
        <w:tc>
          <w:tcPr>
            <w:tcW w:w="1624" w:type="dxa"/>
          </w:tcPr>
          <w:p w:rsidR="00AC565F" w:rsidRPr="00AC565F" w:rsidRDefault="00AC565F" w:rsidP="002E5E96">
            <w:pPr>
              <w:rPr>
                <w:rFonts w:cs="Arial"/>
                <w:bCs/>
              </w:rPr>
            </w:pPr>
            <w:r w:rsidRPr="00AC565F">
              <w:rPr>
                <w:rFonts w:cs="Arial"/>
                <w:bCs/>
              </w:rPr>
              <w:t>UNDP</w:t>
            </w:r>
          </w:p>
        </w:tc>
        <w:tc>
          <w:tcPr>
            <w:tcW w:w="2872" w:type="dxa"/>
          </w:tcPr>
          <w:p w:rsidR="00AC565F" w:rsidRPr="00AC565F" w:rsidRDefault="00AC565F" w:rsidP="002E5E96">
            <w:pPr>
              <w:rPr>
                <w:rFonts w:cs="Arial"/>
                <w:bCs/>
              </w:rPr>
            </w:pPr>
            <w:r w:rsidRPr="00AC565F">
              <w:rPr>
                <w:rFonts w:cs="Arial"/>
                <w:bCs/>
              </w:rPr>
              <w:t>Developing a people-centered wildlive policy in Zambia: Sharing revenu with communities in Game Management Areas: 2012-2013</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0.150</w:t>
            </w:r>
          </w:p>
        </w:tc>
        <w:tc>
          <w:tcPr>
            <w:tcW w:w="1624" w:type="dxa"/>
          </w:tcPr>
          <w:p w:rsidR="00AC565F" w:rsidRPr="00AC565F" w:rsidRDefault="00AC565F" w:rsidP="002E5E96">
            <w:pPr>
              <w:rPr>
                <w:rFonts w:cs="Arial"/>
                <w:bCs/>
              </w:rPr>
            </w:pPr>
            <w:r w:rsidRPr="00AC565F">
              <w:rPr>
                <w:rFonts w:cs="Arial"/>
                <w:bCs/>
              </w:rPr>
              <w:t>UNDP</w:t>
            </w:r>
          </w:p>
        </w:tc>
        <w:tc>
          <w:tcPr>
            <w:tcW w:w="2872" w:type="dxa"/>
          </w:tcPr>
          <w:p w:rsidR="00AC565F" w:rsidRPr="00AC565F" w:rsidRDefault="00AC565F" w:rsidP="002E5E96">
            <w:pPr>
              <w:rPr>
                <w:rFonts w:cs="Arial"/>
                <w:bCs/>
              </w:rPr>
            </w:pPr>
            <w:r w:rsidRPr="00AC565F">
              <w:rPr>
                <w:rFonts w:cs="Arial"/>
                <w:bCs/>
              </w:rPr>
              <w:t>Kenya: Adapting to Climate Change in Arid and Semi-Arid Lands 2009-2013</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vMerge/>
          </w:tcPr>
          <w:p w:rsidR="00AC565F" w:rsidRPr="00AC565F" w:rsidRDefault="00AC565F" w:rsidP="002E5E96">
            <w:pPr>
              <w:rPr>
                <w:rFonts w:cs="Arial"/>
                <w:bCs/>
              </w:rPr>
            </w:pPr>
          </w:p>
        </w:tc>
        <w:tc>
          <w:tcPr>
            <w:tcW w:w="1274" w:type="dxa"/>
          </w:tcPr>
          <w:p w:rsidR="00AC565F" w:rsidRPr="00AC565F" w:rsidRDefault="00AC565F" w:rsidP="002E5E96">
            <w:pPr>
              <w:rPr>
                <w:rFonts w:cs="Arial"/>
                <w:bCs/>
              </w:rPr>
            </w:pPr>
            <w:r w:rsidRPr="00AC565F">
              <w:rPr>
                <w:rFonts w:cs="Arial"/>
                <w:bCs/>
              </w:rPr>
              <w:t>0.214 miljoen</w:t>
            </w:r>
          </w:p>
        </w:tc>
        <w:tc>
          <w:tcPr>
            <w:tcW w:w="1624" w:type="dxa"/>
          </w:tcPr>
          <w:p w:rsidR="00AC565F" w:rsidRPr="00AC565F" w:rsidRDefault="00AC565F" w:rsidP="002E5E96">
            <w:pPr>
              <w:rPr>
                <w:rFonts w:cs="Arial"/>
                <w:bCs/>
                <w:lang w:val="nl-BE"/>
              </w:rPr>
            </w:pPr>
            <w:r w:rsidRPr="00AC565F">
              <w:rPr>
                <w:rFonts w:cs="Arial"/>
                <w:bCs/>
                <w:lang w:val="nl-BE"/>
              </w:rPr>
              <w:t>Vlaams Partnerschap Water Voor Ontwikkeling</w:t>
            </w:r>
          </w:p>
        </w:tc>
        <w:tc>
          <w:tcPr>
            <w:tcW w:w="2872" w:type="dxa"/>
          </w:tcPr>
          <w:p w:rsidR="00AC565F" w:rsidRPr="00AC565F" w:rsidRDefault="00AC565F" w:rsidP="002E5E96">
            <w:pPr>
              <w:rPr>
                <w:rFonts w:cs="Arial"/>
                <w:bCs/>
                <w:lang w:val="nl-BE"/>
              </w:rPr>
            </w:pPr>
            <w:r w:rsidRPr="00AC565F">
              <w:rPr>
                <w:rFonts w:cs="Arial"/>
                <w:bCs/>
                <w:lang w:val="nl-BE"/>
              </w:rPr>
              <w:t>Projecten rond water, sanitatie en duurzaam beheer van natuurlijke rijkdommen</w:t>
            </w:r>
          </w:p>
        </w:tc>
        <w:tc>
          <w:tcPr>
            <w:tcW w:w="1251" w:type="dxa"/>
          </w:tcPr>
          <w:p w:rsidR="00AC565F" w:rsidRPr="00AC565F" w:rsidRDefault="00AC565F" w:rsidP="002E5E96">
            <w:pPr>
              <w:rPr>
                <w:rFonts w:cs="Arial"/>
                <w:bCs/>
              </w:rPr>
            </w:pPr>
            <w:r w:rsidRPr="00AC565F">
              <w:rPr>
                <w:rFonts w:cs="Arial"/>
                <w:bCs/>
              </w:rPr>
              <w:t>Nee</w:t>
            </w:r>
          </w:p>
        </w:tc>
      </w:tr>
      <w:tr w:rsidR="00AC565F" w:rsidRPr="00AC565F">
        <w:tc>
          <w:tcPr>
            <w:tcW w:w="962" w:type="dxa"/>
            <w:vMerge/>
            <w:shd w:val="clear" w:color="auto" w:fill="D99594" w:themeFill="accent2" w:themeFillTint="99"/>
          </w:tcPr>
          <w:p w:rsidR="00AC565F" w:rsidRPr="00AC565F" w:rsidRDefault="00AC565F" w:rsidP="002E5E96">
            <w:pPr>
              <w:rPr>
                <w:rFonts w:cs="Arial"/>
                <w:b/>
                <w:bCs/>
              </w:rPr>
            </w:pPr>
          </w:p>
        </w:tc>
        <w:tc>
          <w:tcPr>
            <w:tcW w:w="1367" w:type="dxa"/>
          </w:tcPr>
          <w:p w:rsidR="00AC565F" w:rsidRPr="00AC565F" w:rsidRDefault="00AC565F" w:rsidP="002E5E96">
            <w:pPr>
              <w:rPr>
                <w:rFonts w:cs="Arial"/>
                <w:bCs/>
              </w:rPr>
            </w:pPr>
            <w:r w:rsidRPr="00AC565F">
              <w:rPr>
                <w:rFonts w:cs="Arial"/>
                <w:bCs/>
              </w:rPr>
              <w:t>Brussel</w:t>
            </w:r>
          </w:p>
        </w:tc>
        <w:tc>
          <w:tcPr>
            <w:tcW w:w="1274" w:type="dxa"/>
          </w:tcPr>
          <w:p w:rsidR="00AC565F" w:rsidRPr="00AC565F" w:rsidRDefault="00AC565F" w:rsidP="002E5E96">
            <w:pPr>
              <w:rPr>
                <w:rFonts w:cs="Arial"/>
                <w:bCs/>
              </w:rPr>
            </w:pPr>
            <w:r w:rsidRPr="00AC565F">
              <w:rPr>
                <w:rFonts w:cs="Arial"/>
                <w:bCs/>
              </w:rPr>
              <w:t>1.2</w:t>
            </w:r>
          </w:p>
        </w:tc>
        <w:tc>
          <w:tcPr>
            <w:tcW w:w="1624" w:type="dxa"/>
          </w:tcPr>
          <w:p w:rsidR="00AC565F" w:rsidRPr="00AC565F" w:rsidRDefault="00AC565F" w:rsidP="002E5E96">
            <w:pPr>
              <w:rPr>
                <w:rFonts w:cs="Arial"/>
                <w:bCs/>
              </w:rPr>
            </w:pPr>
            <w:r w:rsidRPr="00AC565F">
              <w:rPr>
                <w:rFonts w:cs="Arial"/>
                <w:bCs/>
              </w:rPr>
              <w:t>Adaptatiefonds</w:t>
            </w:r>
          </w:p>
        </w:tc>
        <w:tc>
          <w:tcPr>
            <w:tcW w:w="2872" w:type="dxa"/>
          </w:tcPr>
          <w:p w:rsidR="00AC565F" w:rsidRPr="00AC565F" w:rsidRDefault="00AC565F" w:rsidP="002E5E96">
            <w:pPr>
              <w:rPr>
                <w:rFonts w:cs="Arial"/>
                <w:bCs/>
              </w:rPr>
            </w:pPr>
            <w:r w:rsidRPr="00AC565F">
              <w:rPr>
                <w:rFonts w:cs="Arial"/>
                <w:bCs/>
              </w:rPr>
              <w:t>Adaptatie</w:t>
            </w:r>
          </w:p>
        </w:tc>
        <w:tc>
          <w:tcPr>
            <w:tcW w:w="1251" w:type="dxa"/>
          </w:tcPr>
          <w:p w:rsidR="00AC565F" w:rsidRPr="00AC565F" w:rsidRDefault="00AC565F" w:rsidP="002E5E96">
            <w:pPr>
              <w:rPr>
                <w:rFonts w:cs="Arial"/>
                <w:bCs/>
              </w:rPr>
            </w:pPr>
            <w:r w:rsidRPr="00AC565F">
              <w:rPr>
                <w:rFonts w:cs="Arial"/>
                <w:bCs/>
              </w:rPr>
              <w:t>Ja</w:t>
            </w:r>
          </w:p>
        </w:tc>
      </w:tr>
      <w:tr w:rsidR="00AC565F" w:rsidRPr="00AC565F">
        <w:tc>
          <w:tcPr>
            <w:tcW w:w="962" w:type="dxa"/>
            <w:shd w:val="clear" w:color="auto" w:fill="D99594" w:themeFill="accent2" w:themeFillTint="99"/>
          </w:tcPr>
          <w:p w:rsidR="00AC565F" w:rsidRPr="00AC565F" w:rsidRDefault="00AC565F" w:rsidP="002E5E96">
            <w:pPr>
              <w:rPr>
                <w:rFonts w:cs="Arial"/>
                <w:b/>
                <w:bCs/>
              </w:rPr>
            </w:pPr>
            <w:r w:rsidRPr="00AC565F">
              <w:rPr>
                <w:rFonts w:cs="Arial"/>
                <w:b/>
                <w:bCs/>
              </w:rPr>
              <w:t>TOTAAL</w:t>
            </w:r>
          </w:p>
        </w:tc>
        <w:tc>
          <w:tcPr>
            <w:tcW w:w="8388" w:type="dxa"/>
            <w:gridSpan w:val="5"/>
            <w:shd w:val="clear" w:color="auto" w:fill="D99594" w:themeFill="accent2" w:themeFillTint="99"/>
          </w:tcPr>
          <w:p w:rsidR="00AC565F" w:rsidRPr="00AC565F" w:rsidRDefault="00AC565F" w:rsidP="002E5E96">
            <w:pPr>
              <w:jc w:val="right"/>
              <w:rPr>
                <w:rFonts w:cs="Arial"/>
                <w:b/>
                <w:bCs/>
              </w:rPr>
            </w:pPr>
            <w:r w:rsidRPr="00AC565F">
              <w:rPr>
                <w:rFonts w:cs="Arial"/>
                <w:b/>
                <w:bCs/>
              </w:rPr>
              <w:t>26,2 miljoen</w:t>
            </w:r>
          </w:p>
        </w:tc>
      </w:tr>
      <w:tr w:rsidR="00AC565F" w:rsidRPr="00AC565F">
        <w:tc>
          <w:tcPr>
            <w:tcW w:w="962" w:type="dxa"/>
            <w:shd w:val="clear" w:color="auto" w:fill="943634" w:themeFill="accent2" w:themeFillShade="BF"/>
          </w:tcPr>
          <w:p w:rsidR="00AC565F" w:rsidRPr="00AC565F" w:rsidRDefault="00AC565F" w:rsidP="002E5E96">
            <w:pPr>
              <w:rPr>
                <w:rFonts w:cs="Arial"/>
                <w:b/>
                <w:bCs/>
              </w:rPr>
            </w:pPr>
            <w:r w:rsidRPr="00AC565F">
              <w:rPr>
                <w:rFonts w:cs="Arial"/>
                <w:b/>
                <w:bCs/>
              </w:rPr>
              <w:t>TOTAAL FSF</w:t>
            </w:r>
          </w:p>
        </w:tc>
        <w:tc>
          <w:tcPr>
            <w:tcW w:w="8388" w:type="dxa"/>
            <w:gridSpan w:val="5"/>
            <w:shd w:val="clear" w:color="auto" w:fill="943634" w:themeFill="accent2" w:themeFillShade="BF"/>
          </w:tcPr>
          <w:p w:rsidR="00AC565F" w:rsidRPr="00AC565F" w:rsidRDefault="00AC565F" w:rsidP="002E5E96">
            <w:pPr>
              <w:tabs>
                <w:tab w:val="left" w:pos="230"/>
              </w:tabs>
              <w:jc w:val="right"/>
              <w:rPr>
                <w:rFonts w:cs="Arial"/>
                <w:b/>
                <w:bCs/>
              </w:rPr>
            </w:pPr>
            <w:r w:rsidRPr="00AC565F">
              <w:rPr>
                <w:rFonts w:cs="Arial"/>
                <w:b/>
                <w:bCs/>
              </w:rPr>
              <w:t>86,2 miljoen</w:t>
            </w:r>
          </w:p>
        </w:tc>
      </w:tr>
    </w:tbl>
    <w:p w:rsidR="00AC565F" w:rsidRPr="00AC565F" w:rsidRDefault="00F80FA2" w:rsidP="00AC565F">
      <w:pPr>
        <w:rPr>
          <w:rFonts w:cs="Arial"/>
          <w:b/>
          <w:u w:val="single"/>
        </w:rPr>
      </w:pPr>
      <w:r>
        <w:rPr>
          <w:rFonts w:cs="Arial"/>
          <w:b/>
          <w:u w:val="single"/>
        </w:rPr>
        <w:br/>
      </w:r>
      <w:r w:rsidR="00AC565F" w:rsidRPr="00AC565F">
        <w:rPr>
          <w:rFonts w:cs="Arial"/>
          <w:b/>
          <w:u w:val="single"/>
        </w:rPr>
        <w:t>Totalen deelstaten:</w:t>
      </w:r>
    </w:p>
    <w:p w:rsidR="00AC565F" w:rsidRPr="00AC565F" w:rsidRDefault="00AC565F" w:rsidP="00AC565F">
      <w:pPr>
        <w:pStyle w:val="ListParagraph"/>
        <w:numPr>
          <w:ilvl w:val="0"/>
          <w:numId w:val="23"/>
        </w:numPr>
        <w:spacing w:before="120" w:line="264" w:lineRule="auto"/>
        <w:rPr>
          <w:rFonts w:cs="Arial"/>
        </w:rPr>
      </w:pPr>
      <w:r w:rsidRPr="00AC565F">
        <w:rPr>
          <w:rFonts w:cs="Arial"/>
        </w:rPr>
        <w:t xml:space="preserve">Federaal </w:t>
      </w:r>
      <w:r w:rsidRPr="00AC565F">
        <w:sym w:font="Wingdings" w:char="F0E0"/>
      </w:r>
      <w:r w:rsidRPr="00AC565F">
        <w:rPr>
          <w:rFonts w:cs="Arial"/>
        </w:rPr>
        <w:t xml:space="preserve"> 74 miljoen</w:t>
      </w:r>
    </w:p>
    <w:p w:rsidR="00AC565F" w:rsidRPr="00AC565F" w:rsidRDefault="00AC565F" w:rsidP="00AC565F">
      <w:pPr>
        <w:pStyle w:val="ListParagraph"/>
        <w:numPr>
          <w:ilvl w:val="0"/>
          <w:numId w:val="23"/>
        </w:numPr>
        <w:spacing w:before="120" w:line="264" w:lineRule="auto"/>
        <w:rPr>
          <w:rFonts w:cs="Arial"/>
        </w:rPr>
      </w:pPr>
      <w:r w:rsidRPr="00AC565F">
        <w:rPr>
          <w:rFonts w:cs="Arial"/>
        </w:rPr>
        <w:t xml:space="preserve">Wallonië </w:t>
      </w:r>
      <w:r w:rsidRPr="00AC565F">
        <w:sym w:font="Wingdings" w:char="F0E0"/>
      </w:r>
      <w:r w:rsidRPr="00AC565F">
        <w:rPr>
          <w:rFonts w:cs="Arial"/>
        </w:rPr>
        <w:t xml:space="preserve"> 6 miljoen</w:t>
      </w:r>
    </w:p>
    <w:p w:rsidR="00AC565F" w:rsidRPr="00AC565F" w:rsidRDefault="00AC565F" w:rsidP="00AC565F">
      <w:pPr>
        <w:pStyle w:val="ListParagraph"/>
        <w:numPr>
          <w:ilvl w:val="0"/>
          <w:numId w:val="23"/>
        </w:numPr>
        <w:spacing w:before="120" w:line="264" w:lineRule="auto"/>
        <w:rPr>
          <w:rFonts w:cs="Arial"/>
        </w:rPr>
      </w:pPr>
      <w:r w:rsidRPr="00AC565F">
        <w:rPr>
          <w:rFonts w:cs="Arial"/>
        </w:rPr>
        <w:t xml:space="preserve">Vlaanderen </w:t>
      </w:r>
      <w:r w:rsidRPr="00AC565F">
        <w:sym w:font="Wingdings" w:char="F0E0"/>
      </w:r>
      <w:r w:rsidRPr="00AC565F">
        <w:rPr>
          <w:rFonts w:cs="Arial"/>
        </w:rPr>
        <w:t xml:space="preserve"> 5 miljoen</w:t>
      </w:r>
    </w:p>
    <w:p w:rsidR="00AC565F" w:rsidRDefault="00AC565F" w:rsidP="00AC565F">
      <w:pPr>
        <w:pStyle w:val="ListParagraph"/>
        <w:numPr>
          <w:ilvl w:val="0"/>
          <w:numId w:val="23"/>
        </w:numPr>
        <w:spacing w:before="120" w:line="264" w:lineRule="auto"/>
        <w:rPr>
          <w:rFonts w:cs="Arial"/>
        </w:rPr>
      </w:pPr>
      <w:r w:rsidRPr="00AC565F">
        <w:rPr>
          <w:rFonts w:cs="Arial"/>
        </w:rPr>
        <w:t xml:space="preserve">Brussel </w:t>
      </w:r>
      <w:r w:rsidRPr="00AC565F">
        <w:sym w:font="Wingdings" w:char="F0E0"/>
      </w:r>
      <w:r w:rsidRPr="00AC565F">
        <w:rPr>
          <w:rFonts w:cs="Arial"/>
        </w:rPr>
        <w:t xml:space="preserve"> 1.2 miljoen</w:t>
      </w:r>
    </w:p>
    <w:p w:rsidR="00D13E88" w:rsidRPr="00D13E88" w:rsidRDefault="00D13E88" w:rsidP="00D13E88">
      <w:pPr>
        <w:spacing w:before="120" w:line="264" w:lineRule="auto"/>
        <w:rPr>
          <w:rFonts w:cs="Arial"/>
        </w:rPr>
      </w:pPr>
    </w:p>
    <w:p w:rsidR="006C5257" w:rsidRPr="00E3394C" w:rsidRDefault="00AC565F" w:rsidP="006C5257">
      <w:pPr>
        <w:pStyle w:val="ListParagraph"/>
        <w:numPr>
          <w:ilvl w:val="0"/>
          <w:numId w:val="1"/>
        </w:numPr>
        <w:spacing w:line="264" w:lineRule="auto"/>
        <w:jc w:val="both"/>
        <w:rPr>
          <w:b/>
          <w:sz w:val="24"/>
          <w:u w:val="single"/>
        </w:rPr>
      </w:pPr>
      <w:r>
        <w:rPr>
          <w:b/>
          <w:sz w:val="24"/>
          <w:u w:val="single"/>
        </w:rPr>
        <w:t>2013-2014</w:t>
      </w:r>
    </w:p>
    <w:p w:rsidR="00D42BE4" w:rsidRDefault="00AC565F" w:rsidP="00D42BE4">
      <w:pPr>
        <w:spacing w:line="264" w:lineRule="auto"/>
        <w:jc w:val="both"/>
      </w:pPr>
      <w:r w:rsidRPr="000E6DEC">
        <w:t xml:space="preserve">In Doha (2012) werd beslist dat voor de periode 2013-2015 minstens dezelfde bedragen als tijdens de Fast Start Financieringsperiode moesten geleverd worden. Voor België betekent dat 50 miljoen euro per jaar. </w:t>
      </w:r>
    </w:p>
    <w:p w:rsidR="00DA0393" w:rsidRDefault="00D13E88" w:rsidP="00D42BE4">
      <w:pPr>
        <w:spacing w:line="264" w:lineRule="auto"/>
        <w:jc w:val="both"/>
      </w:pPr>
      <w:r>
        <w:t>Opeens haalt ons land wel vlot de doelstelling. In 2013 gaven we aan 79 miljoen betaald te hebben, in 2014 bijna 97 miljoen.</w:t>
      </w:r>
      <w:r w:rsidR="00DA0393">
        <w:t xml:space="preserve"> Er is echter geen reden tot juichen</w:t>
      </w:r>
      <w:r>
        <w:t xml:space="preserve">: in tegenstelling tot voorgaande jaren worden bestaande ontwikkelingsprojecten </w:t>
      </w:r>
      <w:r w:rsidR="00DA0393">
        <w:t xml:space="preserve">vanaf 2013 </w:t>
      </w:r>
      <w:r>
        <w:t xml:space="preserve">waar mogelijk meegeteld als klimaatsteun. Zo kan een irrigatieproject plots voor een bepaald percentage </w:t>
      </w:r>
      <w:r w:rsidR="00DA0393">
        <w:t>klimaatfinanciering tellen</w:t>
      </w:r>
      <w:r>
        <w:t xml:space="preserve"> </w:t>
      </w:r>
      <w:r w:rsidR="00DA0393">
        <w:t xml:space="preserve">of is bepaalde </w:t>
      </w:r>
      <w:r>
        <w:t xml:space="preserve">landbouwsteun </w:t>
      </w:r>
      <w:r w:rsidR="00DA0393">
        <w:t>plots</w:t>
      </w:r>
      <w:r>
        <w:t xml:space="preserve"> een klimaatproject.</w:t>
      </w:r>
    </w:p>
    <w:p w:rsidR="00DA0393" w:rsidRPr="000E6DEC" w:rsidRDefault="00D13E88" w:rsidP="00D42BE4">
      <w:pPr>
        <w:spacing w:line="264" w:lineRule="auto"/>
        <w:jc w:val="both"/>
      </w:pPr>
      <w:r>
        <w:t>In de praktijk storten</w:t>
      </w:r>
      <w:r w:rsidR="00DA0393">
        <w:t xml:space="preserve"> we in 2013 30,5 miljoen aan klimaatfondsen en in 2014 55 miljoen. 2014 is dus het enige jaar dat België effectief de beloofde 50 miljoen haalt. Bovendien komen opnieuw het grootste deel van deze middelen uit het budget ontwikkelingssamenwerking. Geld dat alweer dubbel geteld wordt. Op twee j</w:t>
      </w:r>
      <w:r w:rsidR="002F48D5">
        <w:t>aar tijd trekt ons land amper anderhalf</w:t>
      </w:r>
      <w:r w:rsidR="00DA0393">
        <w:t xml:space="preserve"> miljoen euro extra uit voor de klimaatfinanciering. Al de rest komt uit het bestaande budget.</w:t>
      </w:r>
    </w:p>
    <w:p w:rsidR="00D42BE4" w:rsidRPr="00D42BE4" w:rsidRDefault="00AC565F" w:rsidP="00D42BE4">
      <w:pPr>
        <w:pStyle w:val="ListParagraph"/>
        <w:numPr>
          <w:ilvl w:val="1"/>
          <w:numId w:val="1"/>
        </w:numPr>
        <w:spacing w:line="264" w:lineRule="auto"/>
        <w:jc w:val="both"/>
      </w:pPr>
      <w:r>
        <w:rPr>
          <w:b/>
        </w:rPr>
        <w:t>Wat werd betaald?</w:t>
      </w:r>
    </w:p>
    <w:tbl>
      <w:tblPr>
        <w:tblStyle w:val="TableGrid"/>
        <w:tblW w:w="0" w:type="auto"/>
        <w:tblLook w:val="04A0"/>
      </w:tblPr>
      <w:tblGrid>
        <w:gridCol w:w="845"/>
        <w:gridCol w:w="4508"/>
        <w:gridCol w:w="1985"/>
      </w:tblGrid>
      <w:tr w:rsidR="00AC565F">
        <w:tc>
          <w:tcPr>
            <w:tcW w:w="845" w:type="dxa"/>
            <w:vMerge w:val="restart"/>
            <w:shd w:val="clear" w:color="auto" w:fill="D99594" w:themeFill="accent2" w:themeFillTint="99"/>
          </w:tcPr>
          <w:p w:rsidR="00AC565F" w:rsidRDefault="00AC565F" w:rsidP="002E5E96">
            <w:pPr>
              <w:rPr>
                <w:lang w:val="nl-BE"/>
              </w:rPr>
            </w:pPr>
            <w:r>
              <w:rPr>
                <w:lang w:val="nl-BE"/>
              </w:rPr>
              <w:t>2013</w:t>
            </w:r>
          </w:p>
        </w:tc>
        <w:tc>
          <w:tcPr>
            <w:tcW w:w="4508" w:type="dxa"/>
          </w:tcPr>
          <w:p w:rsidR="00AC565F" w:rsidRDefault="00AC565F" w:rsidP="002E5E96">
            <w:pPr>
              <w:rPr>
                <w:lang w:val="nl-BE"/>
              </w:rPr>
            </w:pPr>
            <w:r>
              <w:rPr>
                <w:lang w:val="nl-BE"/>
              </w:rPr>
              <w:t>Multilaterale klimaatfondsen</w:t>
            </w:r>
            <w:r>
              <w:rPr>
                <w:rStyle w:val="FootnoteReference"/>
                <w:lang w:val="nl-BE"/>
              </w:rPr>
              <w:footnoteReference w:id="1"/>
            </w:r>
          </w:p>
        </w:tc>
        <w:tc>
          <w:tcPr>
            <w:tcW w:w="1985" w:type="dxa"/>
          </w:tcPr>
          <w:p w:rsidR="00AC565F" w:rsidRDefault="00AC565F" w:rsidP="002E5E96">
            <w:pPr>
              <w:rPr>
                <w:lang w:val="nl-BE"/>
              </w:rPr>
            </w:pPr>
            <w:r>
              <w:rPr>
                <w:lang w:val="nl-BE"/>
              </w:rPr>
              <w:t>24,57 miljoen</w:t>
            </w:r>
          </w:p>
        </w:tc>
      </w:tr>
      <w:tr w:rsidR="00AC565F">
        <w:tc>
          <w:tcPr>
            <w:tcW w:w="845" w:type="dxa"/>
            <w:vMerge/>
            <w:shd w:val="clear" w:color="auto" w:fill="D99594" w:themeFill="accent2" w:themeFillTint="99"/>
          </w:tcPr>
          <w:p w:rsidR="00AC565F" w:rsidRDefault="00AC565F" w:rsidP="002E5E96">
            <w:pPr>
              <w:rPr>
                <w:lang w:val="nl-BE"/>
              </w:rPr>
            </w:pPr>
          </w:p>
        </w:tc>
        <w:tc>
          <w:tcPr>
            <w:tcW w:w="4508" w:type="dxa"/>
          </w:tcPr>
          <w:p w:rsidR="00AC565F" w:rsidRDefault="00AC565F" w:rsidP="002E5E96">
            <w:pPr>
              <w:rPr>
                <w:lang w:val="nl-BE"/>
              </w:rPr>
            </w:pPr>
            <w:r>
              <w:rPr>
                <w:lang w:val="nl-BE"/>
              </w:rPr>
              <w:t>Andere multilaterale klimaatfondsen</w:t>
            </w:r>
            <w:r>
              <w:rPr>
                <w:rStyle w:val="FootnoteReference"/>
                <w:lang w:val="nl-BE"/>
              </w:rPr>
              <w:footnoteReference w:id="2"/>
            </w:r>
          </w:p>
        </w:tc>
        <w:tc>
          <w:tcPr>
            <w:tcW w:w="1985" w:type="dxa"/>
          </w:tcPr>
          <w:p w:rsidR="00AC565F" w:rsidRDefault="00AC565F" w:rsidP="002E5E96">
            <w:pPr>
              <w:rPr>
                <w:lang w:val="nl-BE"/>
              </w:rPr>
            </w:pPr>
            <w:r>
              <w:rPr>
                <w:lang w:val="nl-BE"/>
              </w:rPr>
              <w:t>6 miljoen</w:t>
            </w:r>
          </w:p>
        </w:tc>
      </w:tr>
      <w:tr w:rsidR="00AC565F">
        <w:tc>
          <w:tcPr>
            <w:tcW w:w="845" w:type="dxa"/>
            <w:vMerge/>
            <w:shd w:val="clear" w:color="auto" w:fill="D99594" w:themeFill="accent2" w:themeFillTint="99"/>
          </w:tcPr>
          <w:p w:rsidR="00AC565F" w:rsidRDefault="00AC565F" w:rsidP="002E5E96">
            <w:pPr>
              <w:rPr>
                <w:lang w:val="nl-BE"/>
              </w:rPr>
            </w:pPr>
          </w:p>
        </w:tc>
        <w:tc>
          <w:tcPr>
            <w:tcW w:w="4508" w:type="dxa"/>
          </w:tcPr>
          <w:p w:rsidR="00AC565F" w:rsidRDefault="00AC565F" w:rsidP="002E5E96">
            <w:pPr>
              <w:rPr>
                <w:lang w:val="nl-BE"/>
              </w:rPr>
            </w:pPr>
            <w:r>
              <w:rPr>
                <w:lang w:val="nl-BE"/>
              </w:rPr>
              <w:t>Gespecialiseerde VN organen</w:t>
            </w:r>
          </w:p>
        </w:tc>
        <w:tc>
          <w:tcPr>
            <w:tcW w:w="1985" w:type="dxa"/>
          </w:tcPr>
          <w:p w:rsidR="00AC565F" w:rsidRDefault="00AC565F" w:rsidP="002E5E96">
            <w:pPr>
              <w:rPr>
                <w:lang w:val="nl-BE"/>
              </w:rPr>
            </w:pPr>
            <w:r>
              <w:rPr>
                <w:lang w:val="nl-BE"/>
              </w:rPr>
              <w:t>4,38 miljoen</w:t>
            </w:r>
          </w:p>
        </w:tc>
      </w:tr>
      <w:tr w:rsidR="00AC565F">
        <w:tc>
          <w:tcPr>
            <w:tcW w:w="845" w:type="dxa"/>
            <w:vMerge/>
            <w:shd w:val="clear" w:color="auto" w:fill="D99594" w:themeFill="accent2" w:themeFillTint="99"/>
          </w:tcPr>
          <w:p w:rsidR="00AC565F" w:rsidRDefault="00AC565F" w:rsidP="002E5E96">
            <w:pPr>
              <w:rPr>
                <w:lang w:val="nl-BE"/>
              </w:rPr>
            </w:pPr>
          </w:p>
        </w:tc>
        <w:tc>
          <w:tcPr>
            <w:tcW w:w="4508" w:type="dxa"/>
          </w:tcPr>
          <w:p w:rsidR="00AC565F" w:rsidRDefault="00AC565F" w:rsidP="002E5E96">
            <w:pPr>
              <w:rPr>
                <w:lang w:val="nl-BE"/>
              </w:rPr>
            </w:pPr>
            <w:r>
              <w:rPr>
                <w:lang w:val="nl-BE"/>
              </w:rPr>
              <w:t>Bilateraal, regionaal en andere kanalen</w:t>
            </w:r>
          </w:p>
        </w:tc>
        <w:tc>
          <w:tcPr>
            <w:tcW w:w="1985" w:type="dxa"/>
          </w:tcPr>
          <w:p w:rsidR="00AC565F" w:rsidRDefault="00AC565F" w:rsidP="002E5E96">
            <w:pPr>
              <w:rPr>
                <w:lang w:val="nl-BE"/>
              </w:rPr>
            </w:pPr>
            <w:r>
              <w:rPr>
                <w:lang w:val="nl-BE"/>
              </w:rPr>
              <w:t>44,1 miljoen</w:t>
            </w:r>
          </w:p>
        </w:tc>
      </w:tr>
      <w:tr w:rsidR="00AC565F">
        <w:tc>
          <w:tcPr>
            <w:tcW w:w="845" w:type="dxa"/>
            <w:vMerge/>
            <w:shd w:val="clear" w:color="auto" w:fill="D99594" w:themeFill="accent2" w:themeFillTint="99"/>
          </w:tcPr>
          <w:p w:rsidR="00AC565F" w:rsidRPr="00E24681" w:rsidRDefault="00AC565F" w:rsidP="002E5E96">
            <w:pPr>
              <w:rPr>
                <w:b/>
                <w:lang w:val="nl-BE"/>
              </w:rPr>
            </w:pPr>
          </w:p>
        </w:tc>
        <w:tc>
          <w:tcPr>
            <w:tcW w:w="4508" w:type="dxa"/>
            <w:shd w:val="clear" w:color="auto" w:fill="943634" w:themeFill="accent2" w:themeFillShade="BF"/>
          </w:tcPr>
          <w:p w:rsidR="00AC565F" w:rsidRPr="00E24681" w:rsidRDefault="00AC565F" w:rsidP="002E5E96">
            <w:pPr>
              <w:rPr>
                <w:b/>
                <w:lang w:val="nl-BE"/>
              </w:rPr>
            </w:pPr>
            <w:r w:rsidRPr="00E24681">
              <w:rPr>
                <w:b/>
                <w:lang w:val="nl-BE"/>
              </w:rPr>
              <w:t>TOTAAL</w:t>
            </w:r>
            <w:r>
              <w:rPr>
                <w:b/>
                <w:lang w:val="nl-BE"/>
              </w:rPr>
              <w:t xml:space="preserve"> 2013</w:t>
            </w:r>
          </w:p>
        </w:tc>
        <w:tc>
          <w:tcPr>
            <w:tcW w:w="1985" w:type="dxa"/>
            <w:shd w:val="clear" w:color="auto" w:fill="943634" w:themeFill="accent2" w:themeFillShade="BF"/>
          </w:tcPr>
          <w:p w:rsidR="00AC565F" w:rsidRDefault="00AC565F" w:rsidP="002E5E96">
            <w:pPr>
              <w:rPr>
                <w:lang w:val="nl-BE"/>
              </w:rPr>
            </w:pPr>
            <w:r>
              <w:rPr>
                <w:lang w:val="nl-BE"/>
              </w:rPr>
              <w:t>79 miljoen</w:t>
            </w:r>
          </w:p>
        </w:tc>
      </w:tr>
      <w:tr w:rsidR="00AC565F">
        <w:tc>
          <w:tcPr>
            <w:tcW w:w="845" w:type="dxa"/>
            <w:vMerge w:val="restart"/>
            <w:shd w:val="clear" w:color="auto" w:fill="D99594" w:themeFill="accent2" w:themeFillTint="99"/>
          </w:tcPr>
          <w:p w:rsidR="00AC565F" w:rsidRDefault="00AC565F" w:rsidP="002E5E96">
            <w:pPr>
              <w:rPr>
                <w:lang w:val="nl-BE"/>
              </w:rPr>
            </w:pPr>
            <w:r>
              <w:rPr>
                <w:lang w:val="nl-BE"/>
              </w:rPr>
              <w:t>2014</w:t>
            </w:r>
          </w:p>
        </w:tc>
        <w:tc>
          <w:tcPr>
            <w:tcW w:w="4508" w:type="dxa"/>
          </w:tcPr>
          <w:p w:rsidR="00AC565F" w:rsidRDefault="00AC565F" w:rsidP="002E5E96">
            <w:pPr>
              <w:rPr>
                <w:lang w:val="nl-BE"/>
              </w:rPr>
            </w:pPr>
            <w:r>
              <w:rPr>
                <w:lang w:val="nl-BE"/>
              </w:rPr>
              <w:t>Multilaterale klimaatfondsen</w:t>
            </w:r>
          </w:p>
        </w:tc>
        <w:tc>
          <w:tcPr>
            <w:tcW w:w="1985" w:type="dxa"/>
          </w:tcPr>
          <w:p w:rsidR="00AC565F" w:rsidRDefault="00AC565F" w:rsidP="002E5E96">
            <w:pPr>
              <w:rPr>
                <w:lang w:val="nl-BE"/>
              </w:rPr>
            </w:pPr>
            <w:r>
              <w:rPr>
                <w:lang w:val="nl-BE"/>
              </w:rPr>
              <w:t>53,93 miljoen</w:t>
            </w:r>
          </w:p>
        </w:tc>
      </w:tr>
      <w:tr w:rsidR="00AC565F">
        <w:tc>
          <w:tcPr>
            <w:tcW w:w="845" w:type="dxa"/>
            <w:vMerge/>
            <w:shd w:val="clear" w:color="auto" w:fill="D99594" w:themeFill="accent2" w:themeFillTint="99"/>
          </w:tcPr>
          <w:p w:rsidR="00AC565F" w:rsidRDefault="00AC565F" w:rsidP="002E5E96">
            <w:pPr>
              <w:rPr>
                <w:lang w:val="nl-BE"/>
              </w:rPr>
            </w:pPr>
          </w:p>
        </w:tc>
        <w:tc>
          <w:tcPr>
            <w:tcW w:w="4508" w:type="dxa"/>
          </w:tcPr>
          <w:p w:rsidR="00AC565F" w:rsidRDefault="00AC565F" w:rsidP="002E5E96">
            <w:pPr>
              <w:rPr>
                <w:lang w:val="nl-BE"/>
              </w:rPr>
            </w:pPr>
            <w:r>
              <w:rPr>
                <w:lang w:val="nl-BE"/>
              </w:rPr>
              <w:t>Andere multilaterale klimaatfondsen</w:t>
            </w:r>
          </w:p>
        </w:tc>
        <w:tc>
          <w:tcPr>
            <w:tcW w:w="1985" w:type="dxa"/>
          </w:tcPr>
          <w:p w:rsidR="00AC565F" w:rsidRDefault="00AC565F" w:rsidP="00AC565F">
            <w:pPr>
              <w:rPr>
                <w:lang w:val="nl-BE"/>
              </w:rPr>
            </w:pPr>
            <w:r>
              <w:rPr>
                <w:lang w:val="nl-BE"/>
              </w:rPr>
              <w:t>1,02 miljoen</w:t>
            </w:r>
          </w:p>
        </w:tc>
      </w:tr>
      <w:tr w:rsidR="00AC565F">
        <w:tc>
          <w:tcPr>
            <w:tcW w:w="845" w:type="dxa"/>
            <w:vMerge/>
            <w:shd w:val="clear" w:color="auto" w:fill="D99594" w:themeFill="accent2" w:themeFillTint="99"/>
          </w:tcPr>
          <w:p w:rsidR="00AC565F" w:rsidRDefault="00AC565F" w:rsidP="002E5E96">
            <w:pPr>
              <w:rPr>
                <w:lang w:val="nl-BE"/>
              </w:rPr>
            </w:pPr>
          </w:p>
        </w:tc>
        <w:tc>
          <w:tcPr>
            <w:tcW w:w="4508" w:type="dxa"/>
          </w:tcPr>
          <w:p w:rsidR="00AC565F" w:rsidRDefault="00AC565F" w:rsidP="002E5E96">
            <w:pPr>
              <w:rPr>
                <w:lang w:val="nl-BE"/>
              </w:rPr>
            </w:pPr>
            <w:r>
              <w:rPr>
                <w:lang w:val="nl-BE"/>
              </w:rPr>
              <w:t>Gespecialiseerde VN organen</w:t>
            </w:r>
          </w:p>
        </w:tc>
        <w:tc>
          <w:tcPr>
            <w:tcW w:w="1985" w:type="dxa"/>
          </w:tcPr>
          <w:p w:rsidR="00AC565F" w:rsidRDefault="00AC565F" w:rsidP="002E5E96">
            <w:pPr>
              <w:rPr>
                <w:lang w:val="nl-BE"/>
              </w:rPr>
            </w:pPr>
            <w:r>
              <w:rPr>
                <w:lang w:val="nl-BE"/>
              </w:rPr>
              <w:t>1,62 miljoen</w:t>
            </w:r>
          </w:p>
        </w:tc>
      </w:tr>
      <w:tr w:rsidR="00AC565F">
        <w:tc>
          <w:tcPr>
            <w:tcW w:w="845" w:type="dxa"/>
            <w:vMerge/>
            <w:shd w:val="clear" w:color="auto" w:fill="D99594" w:themeFill="accent2" w:themeFillTint="99"/>
          </w:tcPr>
          <w:p w:rsidR="00AC565F" w:rsidRDefault="00AC565F" w:rsidP="002E5E96">
            <w:pPr>
              <w:rPr>
                <w:lang w:val="nl-BE"/>
              </w:rPr>
            </w:pPr>
          </w:p>
        </w:tc>
        <w:tc>
          <w:tcPr>
            <w:tcW w:w="4508" w:type="dxa"/>
          </w:tcPr>
          <w:p w:rsidR="00AC565F" w:rsidRDefault="00AC565F" w:rsidP="002E5E96">
            <w:pPr>
              <w:rPr>
                <w:lang w:val="nl-BE"/>
              </w:rPr>
            </w:pPr>
            <w:r>
              <w:rPr>
                <w:lang w:val="nl-BE"/>
              </w:rPr>
              <w:t>Bilateraal, regionaal en andere kanalen</w:t>
            </w:r>
          </w:p>
        </w:tc>
        <w:tc>
          <w:tcPr>
            <w:tcW w:w="1985" w:type="dxa"/>
          </w:tcPr>
          <w:p w:rsidR="00AC565F" w:rsidRDefault="00AC565F" w:rsidP="002E5E96">
            <w:pPr>
              <w:rPr>
                <w:lang w:val="nl-BE"/>
              </w:rPr>
            </w:pPr>
            <w:r>
              <w:rPr>
                <w:lang w:val="nl-BE"/>
              </w:rPr>
              <w:t>40,07 miljoen</w:t>
            </w:r>
          </w:p>
        </w:tc>
      </w:tr>
      <w:tr w:rsidR="00AC565F">
        <w:tc>
          <w:tcPr>
            <w:tcW w:w="845" w:type="dxa"/>
            <w:vMerge/>
            <w:shd w:val="clear" w:color="auto" w:fill="D99594" w:themeFill="accent2" w:themeFillTint="99"/>
          </w:tcPr>
          <w:p w:rsidR="00AC565F" w:rsidRPr="00E24681" w:rsidRDefault="00AC565F" w:rsidP="002E5E96">
            <w:pPr>
              <w:rPr>
                <w:b/>
                <w:lang w:val="nl-BE"/>
              </w:rPr>
            </w:pPr>
          </w:p>
        </w:tc>
        <w:tc>
          <w:tcPr>
            <w:tcW w:w="4508" w:type="dxa"/>
            <w:shd w:val="clear" w:color="auto" w:fill="943634" w:themeFill="accent2" w:themeFillShade="BF"/>
          </w:tcPr>
          <w:p w:rsidR="00AC565F" w:rsidRPr="00E24681" w:rsidRDefault="00AC565F" w:rsidP="002E5E96">
            <w:pPr>
              <w:rPr>
                <w:b/>
                <w:lang w:val="nl-BE"/>
              </w:rPr>
            </w:pPr>
            <w:r w:rsidRPr="00E24681">
              <w:rPr>
                <w:b/>
                <w:lang w:val="nl-BE"/>
              </w:rPr>
              <w:t>TOTAAL</w:t>
            </w:r>
            <w:r>
              <w:rPr>
                <w:b/>
                <w:lang w:val="nl-BE"/>
              </w:rPr>
              <w:t xml:space="preserve"> 2014</w:t>
            </w:r>
          </w:p>
        </w:tc>
        <w:tc>
          <w:tcPr>
            <w:tcW w:w="1985" w:type="dxa"/>
            <w:shd w:val="clear" w:color="auto" w:fill="943634" w:themeFill="accent2" w:themeFillShade="BF"/>
          </w:tcPr>
          <w:p w:rsidR="00AC565F" w:rsidRDefault="00AC565F" w:rsidP="002E5E96">
            <w:pPr>
              <w:rPr>
                <w:lang w:val="nl-BE"/>
              </w:rPr>
            </w:pPr>
            <w:r>
              <w:rPr>
                <w:lang w:val="nl-BE"/>
              </w:rPr>
              <w:t>96,65 miljoen</w:t>
            </w:r>
          </w:p>
        </w:tc>
      </w:tr>
    </w:tbl>
    <w:p w:rsidR="00467275" w:rsidRDefault="00467275" w:rsidP="00467275">
      <w:pPr>
        <w:pStyle w:val="ListParagraph"/>
        <w:spacing w:line="264" w:lineRule="auto"/>
        <w:jc w:val="both"/>
        <w:rPr>
          <w:b/>
        </w:rPr>
      </w:pPr>
    </w:p>
    <w:p w:rsidR="00467275" w:rsidRPr="00467275" w:rsidRDefault="00467275" w:rsidP="00467275">
      <w:pPr>
        <w:pStyle w:val="ListParagraph"/>
        <w:numPr>
          <w:ilvl w:val="1"/>
          <w:numId w:val="1"/>
        </w:numPr>
        <w:spacing w:line="264" w:lineRule="auto"/>
        <w:jc w:val="both"/>
        <w:rPr>
          <w:b/>
        </w:rPr>
      </w:pPr>
      <w:r w:rsidRPr="00467275">
        <w:rPr>
          <w:b/>
        </w:rPr>
        <w:t>Hoeveel was additioneel aan het ontwikkelingsbudget?</w:t>
      </w:r>
    </w:p>
    <w:tbl>
      <w:tblPr>
        <w:tblStyle w:val="TableGrid"/>
        <w:tblW w:w="0" w:type="auto"/>
        <w:tblLook w:val="04A0"/>
      </w:tblPr>
      <w:tblGrid>
        <w:gridCol w:w="1870"/>
        <w:gridCol w:w="1870"/>
        <w:gridCol w:w="1870"/>
        <w:gridCol w:w="1728"/>
      </w:tblGrid>
      <w:tr w:rsidR="00467275">
        <w:tc>
          <w:tcPr>
            <w:tcW w:w="1870" w:type="dxa"/>
            <w:shd w:val="clear" w:color="auto" w:fill="D99594" w:themeFill="accent2" w:themeFillTint="99"/>
          </w:tcPr>
          <w:p w:rsidR="00467275" w:rsidRPr="00467275" w:rsidRDefault="00467275" w:rsidP="002E5E96">
            <w:pPr>
              <w:rPr>
                <w:b/>
                <w:lang w:val="nl-BE"/>
              </w:rPr>
            </w:pPr>
          </w:p>
        </w:tc>
        <w:tc>
          <w:tcPr>
            <w:tcW w:w="1870" w:type="dxa"/>
            <w:shd w:val="clear" w:color="auto" w:fill="D99594" w:themeFill="accent2" w:themeFillTint="99"/>
          </w:tcPr>
          <w:p w:rsidR="00467275" w:rsidRPr="00467275" w:rsidRDefault="00467275" w:rsidP="002E5E96">
            <w:pPr>
              <w:rPr>
                <w:b/>
              </w:rPr>
            </w:pPr>
            <w:r w:rsidRPr="00467275">
              <w:rPr>
                <w:b/>
              </w:rPr>
              <w:t>Totaal</w:t>
            </w:r>
          </w:p>
        </w:tc>
        <w:tc>
          <w:tcPr>
            <w:tcW w:w="1870" w:type="dxa"/>
            <w:shd w:val="clear" w:color="auto" w:fill="D99594" w:themeFill="accent2" w:themeFillTint="99"/>
          </w:tcPr>
          <w:p w:rsidR="00467275" w:rsidRPr="00467275" w:rsidRDefault="00467275" w:rsidP="002E5E96">
            <w:pPr>
              <w:rPr>
                <w:b/>
              </w:rPr>
            </w:pPr>
            <w:r w:rsidRPr="00467275">
              <w:rPr>
                <w:b/>
              </w:rPr>
              <w:t>ODA</w:t>
            </w:r>
          </w:p>
        </w:tc>
        <w:tc>
          <w:tcPr>
            <w:tcW w:w="1728" w:type="dxa"/>
            <w:shd w:val="clear" w:color="auto" w:fill="D99594" w:themeFill="accent2" w:themeFillTint="99"/>
          </w:tcPr>
          <w:p w:rsidR="00467275" w:rsidRPr="00467275" w:rsidRDefault="00467275" w:rsidP="002E5E96">
            <w:pPr>
              <w:rPr>
                <w:b/>
              </w:rPr>
            </w:pPr>
            <w:r w:rsidRPr="00467275">
              <w:rPr>
                <w:b/>
              </w:rPr>
              <w:t>Additioneel</w:t>
            </w:r>
          </w:p>
        </w:tc>
      </w:tr>
      <w:tr w:rsidR="00467275">
        <w:tc>
          <w:tcPr>
            <w:tcW w:w="1870" w:type="dxa"/>
            <w:shd w:val="clear" w:color="auto" w:fill="D99594" w:themeFill="accent2" w:themeFillTint="99"/>
          </w:tcPr>
          <w:p w:rsidR="00467275" w:rsidRPr="00467275" w:rsidRDefault="00467275" w:rsidP="002E5E96">
            <w:pPr>
              <w:rPr>
                <w:b/>
              </w:rPr>
            </w:pPr>
            <w:r w:rsidRPr="00467275">
              <w:rPr>
                <w:b/>
              </w:rPr>
              <w:t>2013</w:t>
            </w:r>
          </w:p>
        </w:tc>
        <w:tc>
          <w:tcPr>
            <w:tcW w:w="1870" w:type="dxa"/>
          </w:tcPr>
          <w:p w:rsidR="00467275" w:rsidRPr="003E3265" w:rsidRDefault="00467275" w:rsidP="002E5E96">
            <w:r w:rsidRPr="003E3265">
              <w:t>79 miljoen</w:t>
            </w:r>
          </w:p>
        </w:tc>
        <w:tc>
          <w:tcPr>
            <w:tcW w:w="1870" w:type="dxa"/>
          </w:tcPr>
          <w:p w:rsidR="00467275" w:rsidRPr="003E3265" w:rsidRDefault="00467275" w:rsidP="002E5E96">
            <w:r w:rsidRPr="003E3265">
              <w:t>78,48 miljoen</w:t>
            </w:r>
          </w:p>
        </w:tc>
        <w:tc>
          <w:tcPr>
            <w:tcW w:w="1728" w:type="dxa"/>
          </w:tcPr>
          <w:p w:rsidR="00467275" w:rsidRPr="003E3265" w:rsidRDefault="00467275" w:rsidP="002E5E96">
            <w:r w:rsidRPr="003E3265">
              <w:t>526.466</w:t>
            </w:r>
          </w:p>
        </w:tc>
      </w:tr>
      <w:tr w:rsidR="00467275">
        <w:tc>
          <w:tcPr>
            <w:tcW w:w="1870" w:type="dxa"/>
            <w:shd w:val="clear" w:color="auto" w:fill="D99594" w:themeFill="accent2" w:themeFillTint="99"/>
          </w:tcPr>
          <w:p w:rsidR="00467275" w:rsidRPr="00467275" w:rsidRDefault="00467275" w:rsidP="002E5E96">
            <w:pPr>
              <w:rPr>
                <w:b/>
              </w:rPr>
            </w:pPr>
            <w:r w:rsidRPr="00467275">
              <w:rPr>
                <w:b/>
              </w:rPr>
              <w:t>2014</w:t>
            </w:r>
          </w:p>
        </w:tc>
        <w:tc>
          <w:tcPr>
            <w:tcW w:w="1870" w:type="dxa"/>
          </w:tcPr>
          <w:p w:rsidR="00467275" w:rsidRDefault="00467275" w:rsidP="002E5E96">
            <w:r>
              <w:t>96,65 miljoen</w:t>
            </w:r>
          </w:p>
        </w:tc>
        <w:tc>
          <w:tcPr>
            <w:tcW w:w="1870" w:type="dxa"/>
          </w:tcPr>
          <w:p w:rsidR="00467275" w:rsidRDefault="00467275" w:rsidP="002E5E96">
            <w:r>
              <w:t>95,68 miljoen</w:t>
            </w:r>
          </w:p>
        </w:tc>
        <w:tc>
          <w:tcPr>
            <w:tcW w:w="1728" w:type="dxa"/>
          </w:tcPr>
          <w:p w:rsidR="00467275" w:rsidRDefault="00467275" w:rsidP="002E5E96">
            <w:r>
              <w:t>972.969</w:t>
            </w:r>
          </w:p>
        </w:tc>
      </w:tr>
      <w:tr w:rsidR="00467275">
        <w:tc>
          <w:tcPr>
            <w:tcW w:w="1870" w:type="dxa"/>
            <w:shd w:val="clear" w:color="auto" w:fill="943634" w:themeFill="accent2" w:themeFillShade="BF"/>
          </w:tcPr>
          <w:p w:rsidR="00467275" w:rsidRPr="00467275" w:rsidRDefault="00467275" w:rsidP="002E5E96">
            <w:pPr>
              <w:rPr>
                <w:b/>
              </w:rPr>
            </w:pPr>
            <w:r w:rsidRPr="00467275">
              <w:rPr>
                <w:b/>
              </w:rPr>
              <w:t>TOTAAL</w:t>
            </w:r>
          </w:p>
        </w:tc>
        <w:tc>
          <w:tcPr>
            <w:tcW w:w="1870" w:type="dxa"/>
            <w:shd w:val="clear" w:color="auto" w:fill="943634" w:themeFill="accent2" w:themeFillShade="BF"/>
          </w:tcPr>
          <w:p w:rsidR="00467275" w:rsidRPr="00467275" w:rsidRDefault="00467275" w:rsidP="002E5E96">
            <w:pPr>
              <w:rPr>
                <w:b/>
              </w:rPr>
            </w:pPr>
            <w:r w:rsidRPr="00467275">
              <w:rPr>
                <w:b/>
              </w:rPr>
              <w:t>175,65</w:t>
            </w:r>
          </w:p>
        </w:tc>
        <w:tc>
          <w:tcPr>
            <w:tcW w:w="1870" w:type="dxa"/>
            <w:shd w:val="clear" w:color="auto" w:fill="943634" w:themeFill="accent2" w:themeFillShade="BF"/>
          </w:tcPr>
          <w:p w:rsidR="00467275" w:rsidRPr="00467275" w:rsidRDefault="00467275" w:rsidP="002E5E96">
            <w:pPr>
              <w:rPr>
                <w:b/>
              </w:rPr>
            </w:pPr>
            <w:r w:rsidRPr="00467275">
              <w:rPr>
                <w:b/>
              </w:rPr>
              <w:t>174,16</w:t>
            </w:r>
          </w:p>
        </w:tc>
        <w:tc>
          <w:tcPr>
            <w:tcW w:w="1728" w:type="dxa"/>
            <w:shd w:val="clear" w:color="auto" w:fill="943634" w:themeFill="accent2" w:themeFillShade="BF"/>
          </w:tcPr>
          <w:p w:rsidR="00467275" w:rsidRPr="00467275" w:rsidRDefault="002F48D5" w:rsidP="002E5E96">
            <w:pPr>
              <w:rPr>
                <w:b/>
              </w:rPr>
            </w:pPr>
            <w:r>
              <w:rPr>
                <w:b/>
              </w:rPr>
              <w:t>1,50</w:t>
            </w:r>
          </w:p>
        </w:tc>
      </w:tr>
    </w:tbl>
    <w:p w:rsidR="00467275" w:rsidRDefault="00467275" w:rsidP="00467275">
      <w:pPr>
        <w:spacing w:line="264" w:lineRule="auto"/>
        <w:jc w:val="both"/>
      </w:pPr>
    </w:p>
    <w:p w:rsidR="006C5257" w:rsidRDefault="00AC565F" w:rsidP="006C5257">
      <w:pPr>
        <w:pStyle w:val="ListParagraph"/>
        <w:numPr>
          <w:ilvl w:val="0"/>
          <w:numId w:val="1"/>
        </w:numPr>
        <w:spacing w:line="264" w:lineRule="auto"/>
        <w:jc w:val="both"/>
        <w:rPr>
          <w:b/>
          <w:sz w:val="24"/>
          <w:u w:val="single"/>
        </w:rPr>
      </w:pPr>
      <w:r>
        <w:rPr>
          <w:b/>
          <w:sz w:val="24"/>
          <w:u w:val="single"/>
        </w:rPr>
        <w:t>2015-2020</w:t>
      </w:r>
    </w:p>
    <w:p w:rsidR="00B43003" w:rsidRDefault="000E6DEC" w:rsidP="000E6DEC">
      <w:pPr>
        <w:spacing w:line="264" w:lineRule="auto"/>
        <w:jc w:val="both"/>
      </w:pPr>
      <w:r w:rsidRPr="002A1D08">
        <w:t xml:space="preserve">In Warschau (2013)  beloofde </w:t>
      </w:r>
      <w:r w:rsidR="00DA0393">
        <w:t>de wereld</w:t>
      </w:r>
      <w:r w:rsidRPr="002A1D08">
        <w:t xml:space="preserve"> om het niveau van de fast start financiering</w:t>
      </w:r>
      <w:r w:rsidR="00DA0393">
        <w:t xml:space="preserve"> geleidelijk op te trekken van 10 miljard dollar in 2013 naar 100 miljard in 2020</w:t>
      </w:r>
      <w:r w:rsidRPr="002A1D08">
        <w:t xml:space="preserve"> (beloofd in Kopenhagen, 2009). </w:t>
      </w:r>
      <w:r w:rsidR="00DA0393">
        <w:t>Ondanks dat engagement, dat België mee onderschreef, negeert ons land dit groeipad zowel in de praktijk als in de beloftes</w:t>
      </w:r>
      <w:r w:rsidRPr="002A1D08">
        <w:t>.</w:t>
      </w:r>
      <w:r w:rsidR="00DA0393">
        <w:t xml:space="preserve"> Zowel op de klimaattop in Parijs als in het pas gevormde klimaatakkoord houden de vier regeringen het op 50 miljoen, het budget van 2010.</w:t>
      </w:r>
    </w:p>
    <w:p w:rsidR="00DA0393" w:rsidRPr="002A1D08" w:rsidRDefault="00DA0393" w:rsidP="000E6DEC">
      <w:pPr>
        <w:spacing w:line="264" w:lineRule="auto"/>
        <w:jc w:val="both"/>
      </w:pPr>
      <w:r>
        <w:t xml:space="preserve">Hiermee geeft België in de praktijk te kennen zich niet te engageren voor de stijging en laat ons land andere rijke landen hier extra voor opdraaien. </w:t>
      </w:r>
    </w:p>
    <w:p w:rsidR="00B43003" w:rsidRPr="002A1D08" w:rsidRDefault="00B43003" w:rsidP="000E6DEC">
      <w:pPr>
        <w:spacing w:line="264" w:lineRule="auto"/>
        <w:jc w:val="both"/>
      </w:pPr>
      <w:r w:rsidRPr="002A1D08">
        <w:t>Informatie die tot nu toe gekend is over de Belgische bijdragen aan de internationale klimaatfinanciering in 2015 en de komende jaren:</w:t>
      </w:r>
    </w:p>
    <w:tbl>
      <w:tblPr>
        <w:tblStyle w:val="TableGrid"/>
        <w:tblW w:w="0" w:type="auto"/>
        <w:tblLook w:val="04A0"/>
      </w:tblPr>
      <w:tblGrid>
        <w:gridCol w:w="1505"/>
        <w:gridCol w:w="1351"/>
        <w:gridCol w:w="1320"/>
        <w:gridCol w:w="1278"/>
        <w:gridCol w:w="1278"/>
        <w:gridCol w:w="1278"/>
        <w:gridCol w:w="1278"/>
      </w:tblGrid>
      <w:tr w:rsidR="00467275" w:rsidRPr="00B04151">
        <w:tc>
          <w:tcPr>
            <w:tcW w:w="1850" w:type="dxa"/>
            <w:shd w:val="clear" w:color="auto" w:fill="D99594" w:themeFill="accent2" w:themeFillTint="99"/>
          </w:tcPr>
          <w:p w:rsidR="00467275" w:rsidRPr="005B3920" w:rsidRDefault="00467275" w:rsidP="002E5E96">
            <w:pPr>
              <w:rPr>
                <w:b/>
                <w:lang w:val="nl-BE"/>
              </w:rPr>
            </w:pPr>
          </w:p>
        </w:tc>
        <w:tc>
          <w:tcPr>
            <w:tcW w:w="1850" w:type="dxa"/>
            <w:shd w:val="clear" w:color="auto" w:fill="D99594" w:themeFill="accent2" w:themeFillTint="99"/>
          </w:tcPr>
          <w:p w:rsidR="00467275" w:rsidRPr="00B04151" w:rsidRDefault="00467275" w:rsidP="002E5E96">
            <w:pPr>
              <w:rPr>
                <w:b/>
                <w:lang w:val="nl-BE"/>
              </w:rPr>
            </w:pPr>
            <w:r w:rsidRPr="00B04151">
              <w:rPr>
                <w:b/>
                <w:lang w:val="nl-BE"/>
              </w:rPr>
              <w:t>2015</w:t>
            </w:r>
          </w:p>
        </w:tc>
        <w:tc>
          <w:tcPr>
            <w:tcW w:w="1850" w:type="dxa"/>
            <w:shd w:val="clear" w:color="auto" w:fill="D99594" w:themeFill="accent2" w:themeFillTint="99"/>
          </w:tcPr>
          <w:p w:rsidR="00467275" w:rsidRPr="00B04151" w:rsidRDefault="00467275" w:rsidP="002E5E96">
            <w:pPr>
              <w:rPr>
                <w:b/>
                <w:lang w:val="nl-BE"/>
              </w:rPr>
            </w:pPr>
            <w:r w:rsidRPr="00B04151">
              <w:rPr>
                <w:b/>
                <w:lang w:val="nl-BE"/>
              </w:rPr>
              <w:t>2016</w:t>
            </w:r>
          </w:p>
        </w:tc>
        <w:tc>
          <w:tcPr>
            <w:tcW w:w="1850" w:type="dxa"/>
            <w:shd w:val="clear" w:color="auto" w:fill="D99594" w:themeFill="accent2" w:themeFillTint="99"/>
          </w:tcPr>
          <w:p w:rsidR="00467275" w:rsidRPr="00B04151" w:rsidRDefault="00467275" w:rsidP="002E5E96">
            <w:pPr>
              <w:rPr>
                <w:b/>
                <w:lang w:val="nl-BE"/>
              </w:rPr>
            </w:pPr>
            <w:r w:rsidRPr="00B04151">
              <w:rPr>
                <w:b/>
                <w:lang w:val="nl-BE"/>
              </w:rPr>
              <w:t>2017</w:t>
            </w:r>
          </w:p>
        </w:tc>
        <w:tc>
          <w:tcPr>
            <w:tcW w:w="1850" w:type="dxa"/>
            <w:shd w:val="clear" w:color="auto" w:fill="D99594" w:themeFill="accent2" w:themeFillTint="99"/>
          </w:tcPr>
          <w:p w:rsidR="00467275" w:rsidRPr="00B04151" w:rsidRDefault="00467275" w:rsidP="002E5E96">
            <w:pPr>
              <w:rPr>
                <w:b/>
                <w:lang w:val="nl-BE"/>
              </w:rPr>
            </w:pPr>
            <w:r w:rsidRPr="00B04151">
              <w:rPr>
                <w:b/>
                <w:lang w:val="nl-BE"/>
              </w:rPr>
              <w:t>2018</w:t>
            </w:r>
          </w:p>
        </w:tc>
        <w:tc>
          <w:tcPr>
            <w:tcW w:w="1850" w:type="dxa"/>
            <w:shd w:val="clear" w:color="auto" w:fill="D99594" w:themeFill="accent2" w:themeFillTint="99"/>
          </w:tcPr>
          <w:p w:rsidR="00467275" w:rsidRPr="00B04151" w:rsidRDefault="00467275" w:rsidP="002E5E96">
            <w:pPr>
              <w:rPr>
                <w:b/>
                <w:lang w:val="nl-BE"/>
              </w:rPr>
            </w:pPr>
            <w:r w:rsidRPr="00B04151">
              <w:rPr>
                <w:b/>
                <w:lang w:val="nl-BE"/>
              </w:rPr>
              <w:t>2019</w:t>
            </w:r>
          </w:p>
        </w:tc>
        <w:tc>
          <w:tcPr>
            <w:tcW w:w="1850" w:type="dxa"/>
            <w:shd w:val="clear" w:color="auto" w:fill="D99594" w:themeFill="accent2" w:themeFillTint="99"/>
          </w:tcPr>
          <w:p w:rsidR="00467275" w:rsidRPr="00B04151" w:rsidRDefault="00467275" w:rsidP="002E5E96">
            <w:pPr>
              <w:rPr>
                <w:b/>
                <w:lang w:val="nl-BE"/>
              </w:rPr>
            </w:pPr>
            <w:r w:rsidRPr="00B04151">
              <w:rPr>
                <w:b/>
                <w:lang w:val="nl-BE"/>
              </w:rPr>
              <w:t>2020</w:t>
            </w:r>
          </w:p>
        </w:tc>
      </w:tr>
      <w:tr w:rsidR="00467275" w:rsidRPr="00B04151">
        <w:tc>
          <w:tcPr>
            <w:tcW w:w="1850" w:type="dxa"/>
            <w:shd w:val="clear" w:color="auto" w:fill="D99594" w:themeFill="accent2" w:themeFillTint="99"/>
          </w:tcPr>
          <w:p w:rsidR="00467275" w:rsidRPr="00B04151" w:rsidRDefault="00467275" w:rsidP="002E5E96">
            <w:pPr>
              <w:rPr>
                <w:b/>
                <w:lang w:val="nl-BE"/>
              </w:rPr>
            </w:pPr>
            <w:r w:rsidRPr="00B04151">
              <w:rPr>
                <w:b/>
                <w:lang w:val="nl-BE"/>
              </w:rPr>
              <w:t>Federaal</w:t>
            </w:r>
          </w:p>
        </w:tc>
        <w:tc>
          <w:tcPr>
            <w:tcW w:w="1850" w:type="dxa"/>
          </w:tcPr>
          <w:p w:rsidR="00467275" w:rsidRPr="00B04151" w:rsidRDefault="00467275" w:rsidP="002E5E96">
            <w:pPr>
              <w:rPr>
                <w:i/>
                <w:lang w:val="nl-BE"/>
              </w:rPr>
            </w:pPr>
            <w:r>
              <w:rPr>
                <w:i/>
                <w:lang w:val="nl-BE"/>
              </w:rPr>
              <w:t>10 miljoen</w:t>
            </w:r>
            <w:r>
              <w:rPr>
                <w:rStyle w:val="FootnoteReference"/>
                <w:i/>
                <w:lang w:val="nl-BE"/>
              </w:rPr>
              <w:footnoteReference w:id="3"/>
            </w:r>
          </w:p>
        </w:tc>
        <w:tc>
          <w:tcPr>
            <w:tcW w:w="1850" w:type="dxa"/>
          </w:tcPr>
          <w:p w:rsidR="00467275" w:rsidRPr="00B04151" w:rsidRDefault="00467275" w:rsidP="002E5E96">
            <w:pPr>
              <w:rPr>
                <w:lang w:val="nl-BE"/>
              </w:rPr>
            </w:pPr>
          </w:p>
        </w:tc>
        <w:tc>
          <w:tcPr>
            <w:tcW w:w="1850" w:type="dxa"/>
          </w:tcPr>
          <w:p w:rsidR="00467275" w:rsidRPr="00B04151" w:rsidRDefault="00467275" w:rsidP="002E5E96">
            <w:pPr>
              <w:rPr>
                <w:lang w:val="nl-BE"/>
              </w:rPr>
            </w:pPr>
          </w:p>
        </w:tc>
        <w:tc>
          <w:tcPr>
            <w:tcW w:w="1850" w:type="dxa"/>
          </w:tcPr>
          <w:p w:rsidR="00467275" w:rsidRPr="00B04151" w:rsidRDefault="00467275" w:rsidP="002E5E96">
            <w:pPr>
              <w:rPr>
                <w:lang w:val="nl-BE"/>
              </w:rPr>
            </w:pPr>
          </w:p>
        </w:tc>
        <w:tc>
          <w:tcPr>
            <w:tcW w:w="1850" w:type="dxa"/>
          </w:tcPr>
          <w:p w:rsidR="00467275" w:rsidRPr="00B04151" w:rsidRDefault="00467275" w:rsidP="002E5E96">
            <w:pPr>
              <w:rPr>
                <w:lang w:val="nl-BE"/>
              </w:rPr>
            </w:pPr>
          </w:p>
        </w:tc>
        <w:tc>
          <w:tcPr>
            <w:tcW w:w="1850" w:type="dxa"/>
          </w:tcPr>
          <w:p w:rsidR="00467275" w:rsidRPr="00B04151" w:rsidRDefault="00467275" w:rsidP="002E5E96">
            <w:pPr>
              <w:rPr>
                <w:lang w:val="nl-BE"/>
              </w:rPr>
            </w:pPr>
          </w:p>
        </w:tc>
      </w:tr>
      <w:tr w:rsidR="00467275" w:rsidRPr="00B04151">
        <w:tc>
          <w:tcPr>
            <w:tcW w:w="1850" w:type="dxa"/>
            <w:shd w:val="clear" w:color="auto" w:fill="D99594" w:themeFill="accent2" w:themeFillTint="99"/>
          </w:tcPr>
          <w:p w:rsidR="00467275" w:rsidRPr="00B04151" w:rsidRDefault="00467275" w:rsidP="002E5E96">
            <w:pPr>
              <w:rPr>
                <w:b/>
                <w:lang w:val="nl-BE"/>
              </w:rPr>
            </w:pPr>
            <w:r w:rsidRPr="00B04151">
              <w:rPr>
                <w:b/>
                <w:lang w:val="nl-BE"/>
              </w:rPr>
              <w:t>Vlaanderen</w:t>
            </w:r>
          </w:p>
        </w:tc>
        <w:tc>
          <w:tcPr>
            <w:tcW w:w="1850" w:type="dxa"/>
          </w:tcPr>
          <w:p w:rsidR="00467275" w:rsidRPr="00467275" w:rsidRDefault="00467275" w:rsidP="002E5E96">
            <w:pPr>
              <w:rPr>
                <w:i/>
                <w:lang w:val="nl-BE"/>
              </w:rPr>
            </w:pPr>
            <w:r w:rsidRPr="00467275">
              <w:rPr>
                <w:i/>
                <w:lang w:val="nl-BE"/>
              </w:rPr>
              <w:t>3,5 miljoen</w:t>
            </w:r>
            <w:r w:rsidRPr="00467275">
              <w:rPr>
                <w:rStyle w:val="FootnoteReference"/>
                <w:i/>
                <w:lang w:val="nl-BE"/>
              </w:rPr>
              <w:footnoteReference w:id="4"/>
            </w:r>
          </w:p>
        </w:tc>
        <w:tc>
          <w:tcPr>
            <w:tcW w:w="1850" w:type="dxa"/>
          </w:tcPr>
          <w:p w:rsidR="00467275" w:rsidRPr="00B04151" w:rsidRDefault="00467275" w:rsidP="002E5E96">
            <w:pPr>
              <w:rPr>
                <w:lang w:val="nl-BE"/>
              </w:rPr>
            </w:pPr>
          </w:p>
        </w:tc>
        <w:tc>
          <w:tcPr>
            <w:tcW w:w="1850" w:type="dxa"/>
          </w:tcPr>
          <w:p w:rsidR="00467275" w:rsidRPr="00B04151" w:rsidRDefault="00467275" w:rsidP="002E5E96">
            <w:pPr>
              <w:rPr>
                <w:lang w:val="nl-BE"/>
              </w:rPr>
            </w:pPr>
          </w:p>
        </w:tc>
        <w:tc>
          <w:tcPr>
            <w:tcW w:w="1850" w:type="dxa"/>
          </w:tcPr>
          <w:p w:rsidR="00467275" w:rsidRPr="00B04151" w:rsidRDefault="00467275" w:rsidP="002E5E96">
            <w:pPr>
              <w:rPr>
                <w:lang w:val="nl-BE"/>
              </w:rPr>
            </w:pPr>
          </w:p>
        </w:tc>
        <w:tc>
          <w:tcPr>
            <w:tcW w:w="1850" w:type="dxa"/>
          </w:tcPr>
          <w:p w:rsidR="00467275" w:rsidRPr="00B04151" w:rsidRDefault="00467275" w:rsidP="002E5E96">
            <w:pPr>
              <w:rPr>
                <w:lang w:val="nl-BE"/>
              </w:rPr>
            </w:pPr>
          </w:p>
        </w:tc>
        <w:tc>
          <w:tcPr>
            <w:tcW w:w="1850" w:type="dxa"/>
          </w:tcPr>
          <w:p w:rsidR="00467275" w:rsidRPr="00B04151" w:rsidRDefault="00467275" w:rsidP="002E5E96">
            <w:pPr>
              <w:rPr>
                <w:lang w:val="nl-BE"/>
              </w:rPr>
            </w:pPr>
          </w:p>
        </w:tc>
      </w:tr>
      <w:tr w:rsidR="00467275" w:rsidRPr="00B04151">
        <w:tc>
          <w:tcPr>
            <w:tcW w:w="1850" w:type="dxa"/>
            <w:shd w:val="clear" w:color="auto" w:fill="D99594" w:themeFill="accent2" w:themeFillTint="99"/>
          </w:tcPr>
          <w:p w:rsidR="00467275" w:rsidRPr="00B04151" w:rsidRDefault="00467275" w:rsidP="002E5E96">
            <w:pPr>
              <w:rPr>
                <w:b/>
                <w:lang w:val="nl-BE"/>
              </w:rPr>
            </w:pPr>
            <w:r w:rsidRPr="00B04151">
              <w:rPr>
                <w:b/>
                <w:lang w:val="nl-BE"/>
              </w:rPr>
              <w:t>Wallonië</w:t>
            </w:r>
          </w:p>
        </w:tc>
        <w:tc>
          <w:tcPr>
            <w:tcW w:w="1850" w:type="dxa"/>
          </w:tcPr>
          <w:p w:rsidR="00467275" w:rsidRPr="00B04151" w:rsidRDefault="00467275" w:rsidP="002E5E96">
            <w:pPr>
              <w:rPr>
                <w:lang w:val="nl-BE"/>
              </w:rPr>
            </w:pPr>
            <w:r w:rsidRPr="00B04151">
              <w:rPr>
                <w:lang w:val="nl-BE"/>
              </w:rPr>
              <w:t>0</w:t>
            </w:r>
          </w:p>
        </w:tc>
        <w:tc>
          <w:tcPr>
            <w:tcW w:w="1850" w:type="dxa"/>
          </w:tcPr>
          <w:p w:rsidR="00467275" w:rsidRPr="00B04151" w:rsidRDefault="002A1D08" w:rsidP="002E5E96">
            <w:pPr>
              <w:rPr>
                <w:lang w:val="nl-BE"/>
              </w:rPr>
            </w:pPr>
            <w:r>
              <w:rPr>
                <w:lang w:val="nl-BE"/>
              </w:rPr>
              <w:t>8</w:t>
            </w:r>
            <w:r w:rsidR="00467275" w:rsidRPr="00B04151">
              <w:rPr>
                <w:lang w:val="nl-BE"/>
              </w:rPr>
              <w:t xml:space="preserve"> miljoen</w:t>
            </w:r>
            <w:r w:rsidR="00467275">
              <w:rPr>
                <w:rStyle w:val="FootnoteReference"/>
                <w:lang w:val="nl-BE"/>
              </w:rPr>
              <w:footnoteReference w:id="5"/>
            </w:r>
          </w:p>
        </w:tc>
        <w:tc>
          <w:tcPr>
            <w:tcW w:w="1850" w:type="dxa"/>
          </w:tcPr>
          <w:p w:rsidR="00467275" w:rsidRPr="00B04151" w:rsidRDefault="00467275" w:rsidP="002E5E96">
            <w:pPr>
              <w:rPr>
                <w:lang w:val="nl-BE"/>
              </w:rPr>
            </w:pPr>
            <w:r w:rsidRPr="00B04151">
              <w:rPr>
                <w:lang w:val="nl-BE"/>
              </w:rPr>
              <w:t>7 miljoen</w:t>
            </w:r>
          </w:p>
        </w:tc>
        <w:tc>
          <w:tcPr>
            <w:tcW w:w="1850" w:type="dxa"/>
          </w:tcPr>
          <w:p w:rsidR="00467275" w:rsidRPr="00B04151" w:rsidRDefault="00467275" w:rsidP="002E5E96">
            <w:pPr>
              <w:rPr>
                <w:lang w:val="nl-BE"/>
              </w:rPr>
            </w:pPr>
          </w:p>
        </w:tc>
        <w:tc>
          <w:tcPr>
            <w:tcW w:w="1850" w:type="dxa"/>
          </w:tcPr>
          <w:p w:rsidR="00467275" w:rsidRPr="00B04151" w:rsidRDefault="00467275" w:rsidP="002E5E96">
            <w:pPr>
              <w:rPr>
                <w:lang w:val="nl-BE"/>
              </w:rPr>
            </w:pPr>
          </w:p>
        </w:tc>
        <w:tc>
          <w:tcPr>
            <w:tcW w:w="1850" w:type="dxa"/>
          </w:tcPr>
          <w:p w:rsidR="00467275" w:rsidRPr="00B04151" w:rsidRDefault="00467275" w:rsidP="002E5E96">
            <w:pPr>
              <w:rPr>
                <w:lang w:val="nl-BE"/>
              </w:rPr>
            </w:pPr>
          </w:p>
        </w:tc>
      </w:tr>
      <w:tr w:rsidR="00467275">
        <w:tc>
          <w:tcPr>
            <w:tcW w:w="1850" w:type="dxa"/>
            <w:shd w:val="clear" w:color="auto" w:fill="D99594" w:themeFill="accent2" w:themeFillTint="99"/>
          </w:tcPr>
          <w:p w:rsidR="00467275" w:rsidRPr="00A016F4" w:rsidRDefault="00467275" w:rsidP="002E5E96">
            <w:pPr>
              <w:rPr>
                <w:b/>
              </w:rPr>
            </w:pPr>
            <w:r w:rsidRPr="00A016F4">
              <w:rPr>
                <w:b/>
              </w:rPr>
              <w:t>Brussel</w:t>
            </w:r>
          </w:p>
        </w:tc>
        <w:tc>
          <w:tcPr>
            <w:tcW w:w="1850" w:type="dxa"/>
          </w:tcPr>
          <w:p w:rsidR="00467275" w:rsidRDefault="00467275" w:rsidP="002E5E96">
            <w:r>
              <w:t>750.000</w:t>
            </w:r>
            <w:r>
              <w:rPr>
                <w:rStyle w:val="FootnoteReference"/>
              </w:rPr>
              <w:footnoteReference w:id="6"/>
            </w:r>
          </w:p>
        </w:tc>
        <w:tc>
          <w:tcPr>
            <w:tcW w:w="1850" w:type="dxa"/>
          </w:tcPr>
          <w:p w:rsidR="00467275" w:rsidRDefault="00467275" w:rsidP="002E5E96"/>
        </w:tc>
        <w:tc>
          <w:tcPr>
            <w:tcW w:w="1850" w:type="dxa"/>
          </w:tcPr>
          <w:p w:rsidR="00467275" w:rsidRDefault="00467275" w:rsidP="002E5E96"/>
        </w:tc>
        <w:tc>
          <w:tcPr>
            <w:tcW w:w="1850" w:type="dxa"/>
          </w:tcPr>
          <w:p w:rsidR="00467275" w:rsidRDefault="00467275" w:rsidP="002E5E96"/>
        </w:tc>
        <w:tc>
          <w:tcPr>
            <w:tcW w:w="1850" w:type="dxa"/>
          </w:tcPr>
          <w:p w:rsidR="00467275" w:rsidRDefault="00467275" w:rsidP="002E5E96"/>
        </w:tc>
        <w:tc>
          <w:tcPr>
            <w:tcW w:w="1850" w:type="dxa"/>
          </w:tcPr>
          <w:p w:rsidR="00467275" w:rsidRDefault="00467275" w:rsidP="002E5E96"/>
        </w:tc>
      </w:tr>
      <w:tr w:rsidR="00467275">
        <w:tc>
          <w:tcPr>
            <w:tcW w:w="1850" w:type="dxa"/>
            <w:shd w:val="clear" w:color="auto" w:fill="943634" w:themeFill="accent2" w:themeFillShade="BF"/>
          </w:tcPr>
          <w:p w:rsidR="00467275" w:rsidRPr="00A016F4" w:rsidRDefault="00467275" w:rsidP="002E5E96">
            <w:pPr>
              <w:rPr>
                <w:b/>
              </w:rPr>
            </w:pPr>
            <w:r w:rsidRPr="00A016F4">
              <w:rPr>
                <w:b/>
              </w:rPr>
              <w:t>TOTAAL</w:t>
            </w:r>
          </w:p>
        </w:tc>
        <w:tc>
          <w:tcPr>
            <w:tcW w:w="1850" w:type="dxa"/>
            <w:shd w:val="clear" w:color="auto" w:fill="943634" w:themeFill="accent2" w:themeFillShade="BF"/>
          </w:tcPr>
          <w:p w:rsidR="00467275" w:rsidRDefault="00C6216A" w:rsidP="002E5E96">
            <w:r>
              <w:t>14,25 miljoen</w:t>
            </w:r>
          </w:p>
        </w:tc>
        <w:tc>
          <w:tcPr>
            <w:tcW w:w="1850" w:type="dxa"/>
            <w:shd w:val="clear" w:color="auto" w:fill="943634" w:themeFill="accent2" w:themeFillShade="BF"/>
          </w:tcPr>
          <w:p w:rsidR="00467275" w:rsidRDefault="00467275" w:rsidP="002E5E96">
            <w:r>
              <w:t>50 miljoen</w:t>
            </w:r>
          </w:p>
        </w:tc>
        <w:tc>
          <w:tcPr>
            <w:tcW w:w="1850" w:type="dxa"/>
            <w:shd w:val="clear" w:color="auto" w:fill="943634" w:themeFill="accent2" w:themeFillShade="BF"/>
          </w:tcPr>
          <w:p w:rsidR="00467275" w:rsidRDefault="00467275" w:rsidP="002E5E96">
            <w:r>
              <w:t>50 miljoen</w:t>
            </w:r>
          </w:p>
        </w:tc>
        <w:tc>
          <w:tcPr>
            <w:tcW w:w="1850" w:type="dxa"/>
            <w:shd w:val="clear" w:color="auto" w:fill="943634" w:themeFill="accent2" w:themeFillShade="BF"/>
          </w:tcPr>
          <w:p w:rsidR="00467275" w:rsidRDefault="00467275" w:rsidP="002E5E96">
            <w:r>
              <w:t>50 miljoen</w:t>
            </w:r>
          </w:p>
        </w:tc>
        <w:tc>
          <w:tcPr>
            <w:tcW w:w="1850" w:type="dxa"/>
            <w:shd w:val="clear" w:color="auto" w:fill="943634" w:themeFill="accent2" w:themeFillShade="BF"/>
          </w:tcPr>
          <w:p w:rsidR="00467275" w:rsidRDefault="00467275" w:rsidP="002E5E96">
            <w:r>
              <w:t>50 miljoen</w:t>
            </w:r>
          </w:p>
        </w:tc>
        <w:tc>
          <w:tcPr>
            <w:tcW w:w="1850" w:type="dxa"/>
            <w:shd w:val="clear" w:color="auto" w:fill="943634" w:themeFill="accent2" w:themeFillShade="BF"/>
          </w:tcPr>
          <w:p w:rsidR="00467275" w:rsidRDefault="00467275" w:rsidP="002E5E96">
            <w:r>
              <w:t>50 miljoen</w:t>
            </w:r>
          </w:p>
        </w:tc>
      </w:tr>
    </w:tbl>
    <w:p w:rsidR="00C6216A" w:rsidRDefault="00C6216A" w:rsidP="00C7334F">
      <w:pPr>
        <w:spacing w:line="264" w:lineRule="auto"/>
        <w:jc w:val="both"/>
      </w:pPr>
    </w:p>
    <w:p w:rsidR="00440A14" w:rsidRDefault="00440A14" w:rsidP="00C7334F">
      <w:pPr>
        <w:spacing w:line="264" w:lineRule="auto"/>
        <w:jc w:val="both"/>
      </w:pPr>
      <w:r>
        <w:t xml:space="preserve">De beloofde 50 miljoen per jaar is in het </w:t>
      </w:r>
      <w:r w:rsidR="002F48D5">
        <w:t>recente klimaat</w:t>
      </w:r>
      <w:r>
        <w:t>akkoord als volgt opgedeeld:</w:t>
      </w:r>
    </w:p>
    <w:p w:rsidR="00440A14" w:rsidRDefault="00440A14" w:rsidP="002F48D5">
      <w:pPr>
        <w:pStyle w:val="ListParagraph"/>
        <w:numPr>
          <w:ilvl w:val="0"/>
          <w:numId w:val="23"/>
        </w:numPr>
        <w:spacing w:line="264" w:lineRule="auto"/>
        <w:jc w:val="both"/>
      </w:pPr>
      <w:r>
        <w:t>Federale regering: 25 miljoen euro</w:t>
      </w:r>
    </w:p>
    <w:p w:rsidR="00440A14" w:rsidRDefault="00440A14" w:rsidP="002F48D5">
      <w:pPr>
        <w:pStyle w:val="ListParagraph"/>
        <w:numPr>
          <w:ilvl w:val="0"/>
          <w:numId w:val="23"/>
        </w:numPr>
        <w:spacing w:line="264" w:lineRule="auto"/>
        <w:jc w:val="both"/>
      </w:pPr>
      <w:r>
        <w:t>Vlaanderen: 14,5 miljoen euro</w:t>
      </w:r>
    </w:p>
    <w:p w:rsidR="00440A14" w:rsidRDefault="00440A14" w:rsidP="002F48D5">
      <w:pPr>
        <w:pStyle w:val="ListParagraph"/>
        <w:numPr>
          <w:ilvl w:val="0"/>
          <w:numId w:val="23"/>
        </w:numPr>
        <w:spacing w:line="264" w:lineRule="auto"/>
        <w:jc w:val="both"/>
      </w:pPr>
      <w:r>
        <w:t>Wallonnië: 8,25 miljoen euro</w:t>
      </w:r>
    </w:p>
    <w:p w:rsidR="00440A14" w:rsidRDefault="00440A14" w:rsidP="002F48D5">
      <w:pPr>
        <w:pStyle w:val="ListParagraph"/>
        <w:numPr>
          <w:ilvl w:val="0"/>
          <w:numId w:val="23"/>
        </w:numPr>
        <w:spacing w:line="264" w:lineRule="auto"/>
        <w:jc w:val="both"/>
      </w:pPr>
      <w:r>
        <w:t>Brussel: 2,25 miljoen euro</w:t>
      </w:r>
    </w:p>
    <w:p w:rsidR="008F3050" w:rsidRPr="008F3050" w:rsidRDefault="00C6216A" w:rsidP="00C7334F">
      <w:pPr>
        <w:spacing w:line="264" w:lineRule="auto"/>
        <w:jc w:val="both"/>
      </w:pPr>
      <w:r>
        <w:t xml:space="preserve">Merk op dat </w:t>
      </w:r>
      <w:r w:rsidR="00C1502A">
        <w:t xml:space="preserve">in </w:t>
      </w:r>
      <w:r>
        <w:t xml:space="preserve">2015 nog geen 15 miljoen </w:t>
      </w:r>
      <w:r w:rsidR="00440A14">
        <w:t xml:space="preserve">beloofd </w:t>
      </w:r>
      <w:r>
        <w:t xml:space="preserve">werd. Voor de 50 miljoen vanaf 2016 blijft onduidelijk waar België het geld zal halen. </w:t>
      </w:r>
      <w:r w:rsidR="00440A14">
        <w:t xml:space="preserve">Hoewel minister Marghem </w:t>
      </w:r>
      <w:bookmarkStart w:id="0" w:name="_GoBack"/>
      <w:bookmarkEnd w:id="0"/>
      <w:r w:rsidR="00440A14">
        <w:t>aangaf dat het om additioneel geld zou gaan, blijft de vrees</w:t>
      </w:r>
      <w:r>
        <w:t xml:space="preserve"> dat opnieuw het budget ontwikkelingssamenwerking hiervoor zal opdraaien.</w:t>
      </w:r>
    </w:p>
    <w:sectPr w:rsidR="008F3050" w:rsidRPr="008F3050" w:rsidSect="00E3769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D6EA9" w15:done="0"/>
  <w15:commentEx w15:paraId="42A97F55" w15:done="0"/>
  <w15:commentEx w15:paraId="56820159"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8E" w:rsidRDefault="00AE798E" w:rsidP="00650A2C">
      <w:pPr>
        <w:spacing w:after="0" w:line="240" w:lineRule="auto"/>
      </w:pPr>
      <w:r>
        <w:separator/>
      </w:r>
    </w:p>
  </w:endnote>
  <w:endnote w:type="continuationSeparator" w:id="0">
    <w:p w:rsidR="00AE798E" w:rsidRDefault="00AE798E" w:rsidP="00650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8E" w:rsidRDefault="00AE798E" w:rsidP="00650A2C">
      <w:pPr>
        <w:spacing w:after="0" w:line="240" w:lineRule="auto"/>
      </w:pPr>
      <w:r>
        <w:separator/>
      </w:r>
    </w:p>
  </w:footnote>
  <w:footnote w:type="continuationSeparator" w:id="0">
    <w:p w:rsidR="00AE798E" w:rsidRDefault="00AE798E" w:rsidP="00650A2C">
      <w:pPr>
        <w:spacing w:after="0" w:line="240" w:lineRule="auto"/>
      </w:pPr>
      <w:r>
        <w:continuationSeparator/>
      </w:r>
    </w:p>
  </w:footnote>
  <w:footnote w:id="1">
    <w:p w:rsidR="00AC565F" w:rsidRPr="00467275" w:rsidRDefault="00AC565F" w:rsidP="00AC565F">
      <w:pPr>
        <w:pStyle w:val="FootnoteText"/>
        <w:rPr>
          <w:rFonts w:asciiTheme="minorHAnsi" w:hAnsiTheme="minorHAnsi"/>
          <w:lang w:val="en-US"/>
        </w:rPr>
      </w:pPr>
      <w:r w:rsidRPr="00467275">
        <w:rPr>
          <w:rStyle w:val="FootnoteReference"/>
          <w:rFonts w:asciiTheme="minorHAnsi" w:hAnsiTheme="minorHAnsi"/>
        </w:rPr>
        <w:footnoteRef/>
      </w:r>
      <w:r w:rsidRPr="00467275">
        <w:rPr>
          <w:rFonts w:asciiTheme="minorHAnsi" w:hAnsiTheme="minorHAnsi"/>
          <w:lang w:val="en-US"/>
        </w:rPr>
        <w:t xml:space="preserve"> GEF, LDCF, SCCF, AF, GCF, Trust Fund for Supplementary Activities</w:t>
      </w:r>
    </w:p>
  </w:footnote>
  <w:footnote w:id="2">
    <w:p w:rsidR="00AC565F" w:rsidRPr="0091703B" w:rsidRDefault="00AC565F" w:rsidP="00AC565F">
      <w:pPr>
        <w:pStyle w:val="FootnoteText"/>
      </w:pPr>
      <w:r w:rsidRPr="00467275">
        <w:rPr>
          <w:rStyle w:val="FootnoteReference"/>
          <w:rFonts w:asciiTheme="minorHAnsi" w:hAnsiTheme="minorHAnsi"/>
        </w:rPr>
        <w:footnoteRef/>
      </w:r>
      <w:r w:rsidRPr="00467275">
        <w:rPr>
          <w:rFonts w:asciiTheme="minorHAnsi" w:hAnsiTheme="minorHAnsi"/>
        </w:rPr>
        <w:t xml:space="preserve"> F</w:t>
      </w:r>
      <w:r w:rsidR="00467275">
        <w:rPr>
          <w:rFonts w:asciiTheme="minorHAnsi" w:hAnsiTheme="minorHAnsi"/>
        </w:rPr>
        <w:t>ondsen die niet onder voetnoot 1</w:t>
      </w:r>
      <w:r w:rsidRPr="00467275">
        <w:rPr>
          <w:rFonts w:asciiTheme="minorHAnsi" w:hAnsiTheme="minorHAnsi"/>
        </w:rPr>
        <w:t xml:space="preserve"> vallen</w:t>
      </w:r>
    </w:p>
  </w:footnote>
  <w:footnote w:id="3">
    <w:p w:rsidR="00467275" w:rsidRPr="00467275" w:rsidRDefault="00467275" w:rsidP="00467275">
      <w:pPr>
        <w:pStyle w:val="FootnoteText"/>
        <w:rPr>
          <w:rFonts w:asciiTheme="minorHAnsi" w:hAnsiTheme="minorHAnsi"/>
          <w:b/>
          <w:u w:val="single"/>
        </w:rPr>
      </w:pPr>
      <w:r w:rsidRPr="00467275">
        <w:rPr>
          <w:rStyle w:val="FootnoteReference"/>
          <w:rFonts w:asciiTheme="minorHAnsi" w:hAnsiTheme="minorHAnsi"/>
        </w:rPr>
        <w:footnoteRef/>
      </w:r>
      <w:r w:rsidRPr="00467275">
        <w:rPr>
          <w:rFonts w:asciiTheme="minorHAnsi" w:hAnsiTheme="minorHAnsi"/>
        </w:rPr>
        <w:t xml:space="preserve"> Maakt deel uit van de beloofde 50 miljoen in 2014 waarvan slechts 40 miljoen betaald werd. </w:t>
      </w:r>
      <w:r w:rsidRPr="00467275">
        <w:rPr>
          <w:rFonts w:asciiTheme="minorHAnsi" w:hAnsiTheme="minorHAnsi"/>
          <w:b/>
          <w:u w:val="single"/>
        </w:rPr>
        <w:t>Ook dit jaar is de 10 miljoen nog niet betaald.</w:t>
      </w:r>
    </w:p>
  </w:footnote>
  <w:footnote w:id="4">
    <w:p w:rsidR="00467275" w:rsidRPr="00467275" w:rsidRDefault="00467275" w:rsidP="00467275">
      <w:pPr>
        <w:pStyle w:val="FootnoteText"/>
        <w:rPr>
          <w:rFonts w:asciiTheme="minorHAnsi" w:hAnsiTheme="minorHAnsi"/>
        </w:rPr>
      </w:pPr>
      <w:r w:rsidRPr="00467275">
        <w:rPr>
          <w:rStyle w:val="FootnoteReference"/>
          <w:rFonts w:asciiTheme="minorHAnsi" w:hAnsiTheme="minorHAnsi"/>
        </w:rPr>
        <w:footnoteRef/>
      </w:r>
      <w:r w:rsidRPr="00467275">
        <w:rPr>
          <w:rFonts w:asciiTheme="minorHAnsi" w:hAnsiTheme="minorHAnsi"/>
        </w:rPr>
        <w:t xml:space="preserve"> Gaat om goedkeuring van een ontwikkelingsproject door Vlaamse Regering 23/10 dat zal besteed worden in de </w:t>
      </w:r>
      <w:r w:rsidRPr="00467275">
        <w:rPr>
          <w:rFonts w:asciiTheme="minorHAnsi" w:hAnsiTheme="minorHAnsi"/>
          <w:b/>
          <w:u w:val="single"/>
        </w:rPr>
        <w:t>komende jaren</w:t>
      </w:r>
      <w:r w:rsidRPr="00467275">
        <w:rPr>
          <w:rFonts w:asciiTheme="minorHAnsi" w:hAnsiTheme="minorHAnsi"/>
        </w:rPr>
        <w:t xml:space="preserve">. Reactie 11.11.11 </w:t>
      </w:r>
      <w:hyperlink r:id="rId1" w:history="1">
        <w:r w:rsidRPr="00467275">
          <w:rPr>
            <w:rStyle w:val="Hyperlink"/>
            <w:rFonts w:asciiTheme="minorHAnsi" w:hAnsiTheme="minorHAnsi"/>
          </w:rPr>
          <w:t>hier</w:t>
        </w:r>
      </w:hyperlink>
      <w:r w:rsidRPr="00467275">
        <w:rPr>
          <w:rFonts w:asciiTheme="minorHAnsi" w:hAnsiTheme="minorHAnsi"/>
        </w:rPr>
        <w:t>. Minister Bourgeois geeft in beleidsbrief aan gemiddeld jaarlijks 2 miljoen euro klimaatfinanciering te geven uit het ontwikkelingsbudget.</w:t>
      </w:r>
    </w:p>
  </w:footnote>
  <w:footnote w:id="5">
    <w:p w:rsidR="00467275" w:rsidRPr="00467275" w:rsidRDefault="00467275" w:rsidP="00467275">
      <w:pPr>
        <w:pStyle w:val="FootnoteText"/>
        <w:rPr>
          <w:rFonts w:asciiTheme="minorHAnsi" w:hAnsiTheme="minorHAnsi"/>
        </w:rPr>
      </w:pPr>
      <w:r w:rsidRPr="00467275">
        <w:rPr>
          <w:rStyle w:val="FootnoteReference"/>
          <w:rFonts w:asciiTheme="minorHAnsi" w:hAnsiTheme="minorHAnsi"/>
        </w:rPr>
        <w:footnoteRef/>
      </w:r>
      <w:r w:rsidRPr="00467275">
        <w:rPr>
          <w:rFonts w:asciiTheme="minorHAnsi" w:hAnsiTheme="minorHAnsi"/>
        </w:rPr>
        <w:t xml:space="preserve"> Nieuw en additioneel, idem voor 2017</w:t>
      </w:r>
    </w:p>
  </w:footnote>
  <w:footnote w:id="6">
    <w:p w:rsidR="00467275" w:rsidRPr="00B04151" w:rsidRDefault="00467275" w:rsidP="00467275">
      <w:pPr>
        <w:pStyle w:val="FootnoteText"/>
      </w:pPr>
      <w:r w:rsidRPr="00467275">
        <w:rPr>
          <w:rStyle w:val="FootnoteReference"/>
          <w:rFonts w:asciiTheme="minorHAnsi" w:hAnsiTheme="minorHAnsi"/>
        </w:rPr>
        <w:footnoteRef/>
      </w:r>
      <w:r w:rsidRPr="00467275">
        <w:rPr>
          <w:rFonts w:asciiTheme="minorHAnsi" w:hAnsiTheme="minorHAnsi"/>
        </w:rPr>
        <w:t xml:space="preserve"> Nieuw en additioneel, al betaald</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C3C"/>
    <w:multiLevelType w:val="hybridMultilevel"/>
    <w:tmpl w:val="08A85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602263"/>
    <w:multiLevelType w:val="hybridMultilevel"/>
    <w:tmpl w:val="BE96F52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
    <w:nsid w:val="10C175A7"/>
    <w:multiLevelType w:val="multilevel"/>
    <w:tmpl w:val="C98A5C20"/>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650F82"/>
    <w:multiLevelType w:val="hybridMultilevel"/>
    <w:tmpl w:val="D69A4A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7CB6961"/>
    <w:multiLevelType w:val="hybridMultilevel"/>
    <w:tmpl w:val="56CE6D1C"/>
    <w:lvl w:ilvl="0" w:tplc="2F52D7D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174205B"/>
    <w:multiLevelType w:val="hybridMultilevel"/>
    <w:tmpl w:val="123E25D4"/>
    <w:lvl w:ilvl="0" w:tplc="3836CCE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2B376FB"/>
    <w:multiLevelType w:val="hybridMultilevel"/>
    <w:tmpl w:val="9DA0A5E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35E543EA"/>
    <w:multiLevelType w:val="hybridMultilevel"/>
    <w:tmpl w:val="57E8C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92A35CD"/>
    <w:multiLevelType w:val="hybridMultilevel"/>
    <w:tmpl w:val="8BEC4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14F2C0C"/>
    <w:multiLevelType w:val="hybridMultilevel"/>
    <w:tmpl w:val="10F28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5EE7C10"/>
    <w:multiLevelType w:val="hybridMultilevel"/>
    <w:tmpl w:val="8ED8762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4B635824"/>
    <w:multiLevelType w:val="multilevel"/>
    <w:tmpl w:val="3B3CD30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BB47761"/>
    <w:multiLevelType w:val="hybridMultilevel"/>
    <w:tmpl w:val="0E0C54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9B65FAF"/>
    <w:multiLevelType w:val="hybridMultilevel"/>
    <w:tmpl w:val="14F08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FB61379"/>
    <w:multiLevelType w:val="hybridMultilevel"/>
    <w:tmpl w:val="9D3ED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3DE7607"/>
    <w:multiLevelType w:val="hybridMultilevel"/>
    <w:tmpl w:val="7C3456D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670E55E2"/>
    <w:multiLevelType w:val="multilevel"/>
    <w:tmpl w:val="FD2AEB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A813644"/>
    <w:multiLevelType w:val="hybridMultilevel"/>
    <w:tmpl w:val="2A8491B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6EDA70EA"/>
    <w:multiLevelType w:val="hybridMultilevel"/>
    <w:tmpl w:val="BB2E8954"/>
    <w:lvl w:ilvl="0" w:tplc="EAF6A080">
      <w:start w:val="2014"/>
      <w:numFmt w:val="bullet"/>
      <w:lvlText w:val="-"/>
      <w:lvlJc w:val="left"/>
      <w:pPr>
        <w:ind w:left="720" w:hanging="360"/>
      </w:pPr>
      <w:rPr>
        <w:rFonts w:ascii="Corbel" w:eastAsiaTheme="minorEastAsia" w:hAnsi="Corbe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0B347CC"/>
    <w:multiLevelType w:val="hybridMultilevel"/>
    <w:tmpl w:val="23F4CF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4187DA6"/>
    <w:multiLevelType w:val="hybridMultilevel"/>
    <w:tmpl w:val="9320C91C"/>
    <w:lvl w:ilvl="0" w:tplc="58FE854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4FE7EC0"/>
    <w:multiLevelType w:val="hybridMultilevel"/>
    <w:tmpl w:val="D346C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AF67929"/>
    <w:multiLevelType w:val="hybridMultilevel"/>
    <w:tmpl w:val="077ED792"/>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num w:numId="1">
    <w:abstractNumId w:val="16"/>
  </w:num>
  <w:num w:numId="2">
    <w:abstractNumId w:val="19"/>
  </w:num>
  <w:num w:numId="3">
    <w:abstractNumId w:val="22"/>
  </w:num>
  <w:num w:numId="4">
    <w:abstractNumId w:val="7"/>
  </w:num>
  <w:num w:numId="5">
    <w:abstractNumId w:val="14"/>
  </w:num>
  <w:num w:numId="6">
    <w:abstractNumId w:val="3"/>
  </w:num>
  <w:num w:numId="7">
    <w:abstractNumId w:val="20"/>
  </w:num>
  <w:num w:numId="8">
    <w:abstractNumId w:val="12"/>
  </w:num>
  <w:num w:numId="9">
    <w:abstractNumId w:val="21"/>
  </w:num>
  <w:num w:numId="10">
    <w:abstractNumId w:val="15"/>
  </w:num>
  <w:num w:numId="11">
    <w:abstractNumId w:val="10"/>
  </w:num>
  <w:num w:numId="12">
    <w:abstractNumId w:val="9"/>
  </w:num>
  <w:num w:numId="13">
    <w:abstractNumId w:val="17"/>
  </w:num>
  <w:num w:numId="14">
    <w:abstractNumId w:val="11"/>
  </w:num>
  <w:num w:numId="15">
    <w:abstractNumId w:val="13"/>
  </w:num>
  <w:num w:numId="16">
    <w:abstractNumId w:val="5"/>
  </w:num>
  <w:num w:numId="17">
    <w:abstractNumId w:val="4"/>
  </w:num>
  <w:num w:numId="18">
    <w:abstractNumId w:val="6"/>
  </w:num>
  <w:num w:numId="19">
    <w:abstractNumId w:val="8"/>
  </w:num>
  <w:num w:numId="20">
    <w:abstractNumId w:val="0"/>
  </w:num>
  <w:num w:numId="21">
    <w:abstractNumId w:val="3"/>
  </w:num>
  <w:num w:numId="22">
    <w:abstractNumId w:val="2"/>
  </w:num>
  <w:num w:numId="23">
    <w:abstractNumId w:val="18"/>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 Vandamme">
    <w15:presenceInfo w15:providerId="Windows Live" w15:userId="194a89df5477d8d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6C5257"/>
    <w:rsid w:val="00026777"/>
    <w:rsid w:val="000725BE"/>
    <w:rsid w:val="00095D8F"/>
    <w:rsid w:val="000E6DEC"/>
    <w:rsid w:val="001918C4"/>
    <w:rsid w:val="001C2B99"/>
    <w:rsid w:val="001E100B"/>
    <w:rsid w:val="002173D7"/>
    <w:rsid w:val="00230131"/>
    <w:rsid w:val="00242095"/>
    <w:rsid w:val="002902F3"/>
    <w:rsid w:val="002A1D08"/>
    <w:rsid w:val="002E0005"/>
    <w:rsid w:val="002F28B2"/>
    <w:rsid w:val="002F48D5"/>
    <w:rsid w:val="00370A85"/>
    <w:rsid w:val="00433C08"/>
    <w:rsid w:val="00440A14"/>
    <w:rsid w:val="00455FDB"/>
    <w:rsid w:val="00467275"/>
    <w:rsid w:val="004D5EF2"/>
    <w:rsid w:val="00540E8B"/>
    <w:rsid w:val="00541C0F"/>
    <w:rsid w:val="005C2DE1"/>
    <w:rsid w:val="005D7633"/>
    <w:rsid w:val="005E600D"/>
    <w:rsid w:val="005E60CA"/>
    <w:rsid w:val="005F59E5"/>
    <w:rsid w:val="00650A2C"/>
    <w:rsid w:val="006951DC"/>
    <w:rsid w:val="006C0193"/>
    <w:rsid w:val="006C5257"/>
    <w:rsid w:val="006D5DA7"/>
    <w:rsid w:val="00726C37"/>
    <w:rsid w:val="00742574"/>
    <w:rsid w:val="007D77DD"/>
    <w:rsid w:val="00840935"/>
    <w:rsid w:val="00850C44"/>
    <w:rsid w:val="00856F05"/>
    <w:rsid w:val="008908F4"/>
    <w:rsid w:val="008F3050"/>
    <w:rsid w:val="008F7C86"/>
    <w:rsid w:val="00A04242"/>
    <w:rsid w:val="00A71B57"/>
    <w:rsid w:val="00AC565F"/>
    <w:rsid w:val="00AE49D7"/>
    <w:rsid w:val="00AE798E"/>
    <w:rsid w:val="00B409DB"/>
    <w:rsid w:val="00B43003"/>
    <w:rsid w:val="00BD28D7"/>
    <w:rsid w:val="00C1502A"/>
    <w:rsid w:val="00C57947"/>
    <w:rsid w:val="00C61319"/>
    <w:rsid w:val="00C6216A"/>
    <w:rsid w:val="00C7334F"/>
    <w:rsid w:val="00CB1562"/>
    <w:rsid w:val="00D13E88"/>
    <w:rsid w:val="00D310B4"/>
    <w:rsid w:val="00D42BE4"/>
    <w:rsid w:val="00D74FFF"/>
    <w:rsid w:val="00DA0393"/>
    <w:rsid w:val="00DB4AD5"/>
    <w:rsid w:val="00E3394C"/>
    <w:rsid w:val="00E3769C"/>
    <w:rsid w:val="00EB0869"/>
    <w:rsid w:val="00F16A29"/>
    <w:rsid w:val="00F80FA2"/>
    <w:rsid w:val="00FE419A"/>
  </w:rsids>
  <m:mathPr>
    <m:mathFont m:val="Corbel"/>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C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57"/>
    <w:rPr>
      <w:rFonts w:ascii="Tahoma" w:hAnsi="Tahoma" w:cs="Tahoma"/>
      <w:sz w:val="16"/>
      <w:szCs w:val="16"/>
    </w:rPr>
  </w:style>
  <w:style w:type="paragraph" w:styleId="ListParagraph">
    <w:name w:val="List Paragraph"/>
    <w:basedOn w:val="Normal"/>
    <w:uiPriority w:val="34"/>
    <w:qFormat/>
    <w:rsid w:val="006C5257"/>
    <w:pPr>
      <w:ind w:left="720"/>
      <w:contextualSpacing/>
    </w:pPr>
  </w:style>
  <w:style w:type="character" w:styleId="Hyperlink">
    <w:name w:val="Hyperlink"/>
    <w:basedOn w:val="DefaultParagraphFont"/>
    <w:uiPriority w:val="99"/>
    <w:unhideWhenUsed/>
    <w:rsid w:val="006C5257"/>
    <w:rPr>
      <w:color w:val="0000FF" w:themeColor="hyperlink"/>
      <w:u w:val="single"/>
    </w:rPr>
  </w:style>
  <w:style w:type="character" w:styleId="CommentReference">
    <w:name w:val="annotation reference"/>
    <w:basedOn w:val="DefaultParagraphFont"/>
    <w:unhideWhenUsed/>
    <w:rsid w:val="00650A2C"/>
    <w:rPr>
      <w:sz w:val="16"/>
      <w:szCs w:val="16"/>
    </w:rPr>
  </w:style>
  <w:style w:type="paragraph" w:styleId="CommentText">
    <w:name w:val="annotation text"/>
    <w:basedOn w:val="Normal"/>
    <w:link w:val="CommentTextChar"/>
    <w:unhideWhenUsed/>
    <w:rsid w:val="00650A2C"/>
    <w:pPr>
      <w:spacing w:line="240" w:lineRule="auto"/>
    </w:pPr>
    <w:rPr>
      <w:sz w:val="20"/>
      <w:szCs w:val="20"/>
    </w:rPr>
  </w:style>
  <w:style w:type="character" w:customStyle="1" w:styleId="CommentTextChar">
    <w:name w:val="Comment Text Char"/>
    <w:basedOn w:val="DefaultParagraphFont"/>
    <w:link w:val="CommentText"/>
    <w:rsid w:val="00650A2C"/>
    <w:rPr>
      <w:sz w:val="20"/>
      <w:szCs w:val="20"/>
    </w:rPr>
  </w:style>
  <w:style w:type="paragraph" w:styleId="CommentSubject">
    <w:name w:val="annotation subject"/>
    <w:basedOn w:val="CommentText"/>
    <w:next w:val="CommentText"/>
    <w:link w:val="CommentSubjectChar"/>
    <w:uiPriority w:val="99"/>
    <w:semiHidden/>
    <w:unhideWhenUsed/>
    <w:rsid w:val="00650A2C"/>
    <w:rPr>
      <w:b/>
      <w:bCs/>
    </w:rPr>
  </w:style>
  <w:style w:type="character" w:customStyle="1" w:styleId="CommentSubjectChar">
    <w:name w:val="Comment Subject Char"/>
    <w:basedOn w:val="CommentTextChar"/>
    <w:link w:val="CommentSubject"/>
    <w:uiPriority w:val="99"/>
    <w:semiHidden/>
    <w:rsid w:val="00650A2C"/>
    <w:rPr>
      <w:b/>
      <w:bCs/>
      <w:sz w:val="20"/>
      <w:szCs w:val="20"/>
    </w:rPr>
  </w:style>
  <w:style w:type="paragraph" w:styleId="FootnoteText">
    <w:name w:val="footnote text"/>
    <w:basedOn w:val="Normal"/>
    <w:link w:val="FootnoteTextChar"/>
    <w:uiPriority w:val="99"/>
    <w:rsid w:val="00650A2C"/>
    <w:pPr>
      <w:spacing w:after="0" w:line="240" w:lineRule="auto"/>
    </w:pPr>
    <w:rPr>
      <w:rFonts w:ascii="Times New Roman" w:hAnsi="Times New Roman" w:cs="Times New Roman"/>
      <w:sz w:val="20"/>
      <w:szCs w:val="20"/>
      <w:lang w:eastAsia="nl-BE"/>
    </w:rPr>
  </w:style>
  <w:style w:type="character" w:customStyle="1" w:styleId="FootnoteTextChar">
    <w:name w:val="Footnote Text Char"/>
    <w:basedOn w:val="DefaultParagraphFont"/>
    <w:link w:val="FootnoteText"/>
    <w:uiPriority w:val="99"/>
    <w:rsid w:val="00650A2C"/>
    <w:rPr>
      <w:rFonts w:ascii="Times New Roman" w:hAnsi="Times New Roman" w:cs="Times New Roman"/>
      <w:sz w:val="20"/>
      <w:szCs w:val="20"/>
      <w:lang w:eastAsia="nl-BE"/>
    </w:rPr>
  </w:style>
  <w:style w:type="character" w:styleId="FootnoteReference">
    <w:name w:val="footnote reference"/>
    <w:basedOn w:val="DefaultParagraphFont"/>
    <w:uiPriority w:val="99"/>
    <w:rsid w:val="00650A2C"/>
    <w:rPr>
      <w:vertAlign w:val="superscript"/>
    </w:rPr>
  </w:style>
  <w:style w:type="table" w:styleId="TableGrid">
    <w:name w:val="Table Grid"/>
    <w:basedOn w:val="TableNormal"/>
    <w:rsid w:val="00AC565F"/>
    <w:pPr>
      <w:spacing w:before="120" w:after="0" w:line="240" w:lineRule="auto"/>
    </w:pPr>
    <w:rPr>
      <w:rFonts w:eastAsiaTheme="minorEastAsia"/>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52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257"/>
    <w:rPr>
      <w:rFonts w:ascii="Tahoma" w:hAnsi="Tahoma" w:cs="Tahoma"/>
      <w:sz w:val="16"/>
      <w:szCs w:val="16"/>
    </w:rPr>
  </w:style>
  <w:style w:type="paragraph" w:styleId="Lijstalinea">
    <w:name w:val="List Paragraph"/>
    <w:basedOn w:val="Standaard"/>
    <w:uiPriority w:val="34"/>
    <w:qFormat/>
    <w:rsid w:val="006C5257"/>
    <w:pPr>
      <w:ind w:left="720"/>
      <w:contextualSpacing/>
    </w:pPr>
  </w:style>
  <w:style w:type="character" w:styleId="Hyperlink">
    <w:name w:val="Hyperlink"/>
    <w:basedOn w:val="Standaardalinea-lettertype"/>
    <w:uiPriority w:val="99"/>
    <w:unhideWhenUsed/>
    <w:rsid w:val="006C5257"/>
    <w:rPr>
      <w:color w:val="0000FF" w:themeColor="hyperlink"/>
      <w:u w:val="single"/>
    </w:rPr>
  </w:style>
  <w:style w:type="character" w:styleId="Verwijzingopmerking">
    <w:name w:val="annotation reference"/>
    <w:basedOn w:val="Standaardalinea-lettertype"/>
    <w:unhideWhenUsed/>
    <w:rsid w:val="00650A2C"/>
    <w:rPr>
      <w:sz w:val="16"/>
      <w:szCs w:val="16"/>
    </w:rPr>
  </w:style>
  <w:style w:type="paragraph" w:styleId="Tekstopmerking">
    <w:name w:val="annotation text"/>
    <w:basedOn w:val="Standaard"/>
    <w:link w:val="TekstopmerkingChar"/>
    <w:unhideWhenUsed/>
    <w:rsid w:val="00650A2C"/>
    <w:pPr>
      <w:spacing w:line="240" w:lineRule="auto"/>
    </w:pPr>
    <w:rPr>
      <w:sz w:val="20"/>
      <w:szCs w:val="20"/>
    </w:rPr>
  </w:style>
  <w:style w:type="character" w:customStyle="1" w:styleId="TekstopmerkingChar">
    <w:name w:val="Tekst opmerking Char"/>
    <w:basedOn w:val="Standaardalinea-lettertype"/>
    <w:link w:val="Tekstopmerking"/>
    <w:rsid w:val="00650A2C"/>
    <w:rPr>
      <w:sz w:val="20"/>
      <w:szCs w:val="20"/>
    </w:rPr>
  </w:style>
  <w:style w:type="paragraph" w:styleId="Onderwerpvanopmerking">
    <w:name w:val="annotation subject"/>
    <w:basedOn w:val="Tekstopmerking"/>
    <w:next w:val="Tekstopmerking"/>
    <w:link w:val="OnderwerpvanopmerkingChar"/>
    <w:uiPriority w:val="99"/>
    <w:semiHidden/>
    <w:unhideWhenUsed/>
    <w:rsid w:val="00650A2C"/>
    <w:rPr>
      <w:b/>
      <w:bCs/>
    </w:rPr>
  </w:style>
  <w:style w:type="character" w:customStyle="1" w:styleId="OnderwerpvanopmerkingChar">
    <w:name w:val="Onderwerp van opmerking Char"/>
    <w:basedOn w:val="TekstopmerkingChar"/>
    <w:link w:val="Onderwerpvanopmerking"/>
    <w:uiPriority w:val="99"/>
    <w:semiHidden/>
    <w:rsid w:val="00650A2C"/>
    <w:rPr>
      <w:b/>
      <w:bCs/>
      <w:sz w:val="20"/>
      <w:szCs w:val="20"/>
    </w:rPr>
  </w:style>
  <w:style w:type="paragraph" w:styleId="Voetnoottekst">
    <w:name w:val="footnote text"/>
    <w:basedOn w:val="Standaard"/>
    <w:link w:val="VoetnoottekstChar"/>
    <w:uiPriority w:val="99"/>
    <w:rsid w:val="00650A2C"/>
    <w:pPr>
      <w:spacing w:after="0" w:line="240" w:lineRule="auto"/>
    </w:pPr>
    <w:rPr>
      <w:rFonts w:ascii="Times New Roman" w:hAnsi="Times New Roman" w:cs="Times New Roman"/>
      <w:sz w:val="20"/>
      <w:szCs w:val="20"/>
      <w:lang w:eastAsia="nl-BE"/>
    </w:rPr>
  </w:style>
  <w:style w:type="character" w:customStyle="1" w:styleId="VoetnoottekstChar">
    <w:name w:val="Voetnoottekst Char"/>
    <w:basedOn w:val="Standaardalinea-lettertype"/>
    <w:link w:val="Voetnoottekst"/>
    <w:uiPriority w:val="99"/>
    <w:rsid w:val="00650A2C"/>
    <w:rPr>
      <w:rFonts w:ascii="Times New Roman" w:hAnsi="Times New Roman" w:cs="Times New Roman"/>
      <w:sz w:val="20"/>
      <w:szCs w:val="20"/>
      <w:lang w:eastAsia="nl-BE"/>
    </w:rPr>
  </w:style>
  <w:style w:type="character" w:styleId="Voetnootmarkering">
    <w:name w:val="footnote reference"/>
    <w:basedOn w:val="Standaardalinea-lettertype"/>
    <w:uiPriority w:val="99"/>
    <w:rsid w:val="00650A2C"/>
    <w:rPr>
      <w:vertAlign w:val="superscript"/>
    </w:rPr>
  </w:style>
  <w:style w:type="table" w:styleId="Tabelraster">
    <w:name w:val="Table Grid"/>
    <w:basedOn w:val="Standaardtabel"/>
    <w:rsid w:val="00AC565F"/>
    <w:pPr>
      <w:spacing w:before="120" w:after="0" w:line="240" w:lineRule="auto"/>
    </w:pPr>
    <w:rPr>
      <w:rFonts w:eastAsiaTheme="minorEastAsia"/>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73025021">
      <w:bodyDiv w:val="1"/>
      <w:marLeft w:val="0"/>
      <w:marRight w:val="0"/>
      <w:marTop w:val="0"/>
      <w:marBottom w:val="0"/>
      <w:divBdr>
        <w:top w:val="none" w:sz="0" w:space="0" w:color="auto"/>
        <w:left w:val="none" w:sz="0" w:space="0" w:color="auto"/>
        <w:bottom w:val="none" w:sz="0" w:space="0" w:color="auto"/>
        <w:right w:val="none" w:sz="0" w:space="0" w:color="auto"/>
      </w:divBdr>
    </w:div>
    <w:div w:id="888999450">
      <w:bodyDiv w:val="1"/>
      <w:marLeft w:val="0"/>
      <w:marRight w:val="0"/>
      <w:marTop w:val="0"/>
      <w:marBottom w:val="0"/>
      <w:divBdr>
        <w:top w:val="none" w:sz="0" w:space="0" w:color="auto"/>
        <w:left w:val="none" w:sz="0" w:space="0" w:color="auto"/>
        <w:bottom w:val="none" w:sz="0" w:space="0" w:color="auto"/>
        <w:right w:val="none" w:sz="0" w:space="0" w:color="auto"/>
      </w:divBdr>
    </w:div>
    <w:div w:id="12269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11.be/component/zoo/item/vlaanderen-telt-klimaatgeld-dubb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5F04-F1AE-6948-814A-8F3F776B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1097</Words>
  <Characters>6258</Characters>
  <Application>Microsoft Macintosh Word</Application>
  <DocSecurity>0</DocSecurity>
  <Lines>52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11.11.11</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Griet Ysewyn</dc:creator>
  <cp:lastModifiedBy>Lode Vanoost</cp:lastModifiedBy>
  <cp:revision>2</cp:revision>
  <cp:lastPrinted>2015-11-12T12:31:00Z</cp:lastPrinted>
  <dcterms:created xsi:type="dcterms:W3CDTF">2015-12-08T14:10:00Z</dcterms:created>
  <dcterms:modified xsi:type="dcterms:W3CDTF">2015-12-08T14:10:00Z</dcterms:modified>
</cp:coreProperties>
</file>